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A9AA8" w14:textId="77777777" w:rsidR="00F8557C" w:rsidRDefault="00000000">
      <w:pPr>
        <w:spacing w:before="720"/>
        <w:jc w:val="center"/>
      </w:pPr>
      <w:r>
        <w:rPr>
          <w:b/>
          <w:color w:val="4F6F63"/>
          <w:sz w:val="28"/>
        </w:rPr>
        <w:t>BIBELWOCHE</w:t>
      </w:r>
    </w:p>
    <w:p w14:paraId="213C0C5B" w14:textId="77777777" w:rsidR="00F8557C" w:rsidRDefault="00000000">
      <w:pPr>
        <w:pStyle w:val="Titel"/>
        <w:jc w:val="center"/>
      </w:pPr>
      <w:r>
        <w:t>„Dem Drachen ins Gesicht schauen“</w:t>
      </w:r>
    </w:p>
    <w:p w14:paraId="17B2B323" w14:textId="77777777" w:rsidR="00F8557C" w:rsidRDefault="00000000">
      <w:pPr>
        <w:jc w:val="center"/>
      </w:pPr>
      <w:r>
        <w:rPr>
          <w:b/>
          <w:color w:val="6B5743"/>
          <w:sz w:val="36"/>
        </w:rPr>
        <w:t>1. Abend</w:t>
      </w:r>
    </w:p>
    <w:p w14:paraId="3D8F0268" w14:textId="77777777" w:rsidR="00F8557C" w:rsidRDefault="00000000">
      <w:pPr>
        <w:jc w:val="center"/>
      </w:pPr>
      <w:r>
        <w:rPr>
          <w:b/>
          <w:sz w:val="40"/>
        </w:rPr>
        <w:t>Offenbarung 1,1–3</w:t>
      </w:r>
    </w:p>
    <w:p w14:paraId="325C2E91" w14:textId="77777777" w:rsidR="00F8557C" w:rsidRDefault="00000000">
      <w:pPr>
        <w:jc w:val="center"/>
      </w:pPr>
      <w:r>
        <w:rPr>
          <w:b/>
          <w:color w:val="253A34"/>
          <w:sz w:val="34"/>
        </w:rPr>
        <w:t>Die Offenbarung &amp; Jesus Christus</w:t>
      </w:r>
    </w:p>
    <w:p w14:paraId="157341E7" w14:textId="77777777" w:rsidR="00F8557C" w:rsidRDefault="00F8557C"/>
    <w:p w14:paraId="01B3EA80" w14:textId="77777777" w:rsidR="00F8557C" w:rsidRDefault="00000000">
      <w:pPr>
        <w:jc w:val="center"/>
      </w:pPr>
      <w:r>
        <w:rPr>
          <w:i/>
          <w:sz w:val="22"/>
        </w:rPr>
        <w:t>Exegetische Analyse · unabhängige Forschungsprüfung · Bibelarbeit · Teilnehmerblatt</w:t>
      </w:r>
    </w:p>
    <w:p w14:paraId="6E37F116" w14:textId="77777777" w:rsidR="00F8557C" w:rsidRDefault="00F8557C"/>
    <w:p w14:paraId="7328C8DC" w14:textId="77777777" w:rsidR="00F8557C" w:rsidRDefault="00000000">
      <w:pPr>
        <w:pStyle w:val="Callout"/>
        <w:jc w:val="center"/>
      </w:pPr>
      <w:r>
        <w:t>Leitgedanke: Die Offenbarung beginnt nicht mit dem Drachen, sondern mit Jesus Christus. Sie will enthüllen, bezeugen, vorgelesen, gehört und bewahrt werden.</w:t>
      </w:r>
    </w:p>
    <w:p w14:paraId="7EAE9807" w14:textId="77777777" w:rsidR="00F8557C" w:rsidRDefault="00000000">
      <w:r>
        <w:br w:type="page"/>
      </w:r>
    </w:p>
    <w:p w14:paraId="0B0B4B58" w14:textId="77777777" w:rsidR="00F8557C" w:rsidRDefault="00000000">
      <w:pPr>
        <w:pStyle w:val="berschrift1"/>
      </w:pPr>
      <w:r>
        <w:lastRenderedPageBreak/>
        <w:t>1. Wissenschaftliche Vorbereitung – Phase A: eigene exegetische Analyse</w:t>
      </w:r>
    </w:p>
    <w:p w14:paraId="4B5619C1" w14:textId="77777777" w:rsidR="00F8557C" w:rsidRDefault="00000000">
      <w:r>
        <w:t>Methodischer Hinweis: Dieser erste Durchgang arbeitet textnah und formuliert vorläufige Ergebnisse. Die externe Forschung wird erst im zweiten Durchgang als unabhängige Kontrollinstanz herangezogen.</w:t>
      </w:r>
    </w:p>
    <w:p w14:paraId="4126D017" w14:textId="77777777" w:rsidR="00F8557C" w:rsidRDefault="00000000">
      <w:pPr>
        <w:pStyle w:val="berschrift2"/>
      </w:pPr>
      <w:r>
        <w:t>1.1 Abgrenzung, Aufbau und Textbewegung</w:t>
      </w:r>
    </w:p>
    <w:p w14:paraId="0909C712" w14:textId="77777777" w:rsidR="00F8557C" w:rsidRDefault="00000000">
      <w:r>
        <w:t>Offb 1,1–3 ist das Vorwort bzw. die programmatische Überschrift der Johannesoffenbarung. Mit 1,4 beginnt die briefliche Eröffnung an die sieben Gemeinden. 1,1–2 bildet eine lange, stark verdichtete Satzperiode über Ursprung, Inhalt und Vermittlungsweg der Offenbarung; 1,3 setzt mit einer Seligpreisung einen neuen Akzent.</w:t>
      </w:r>
    </w:p>
    <w:p w14:paraId="5726A04E" w14:textId="77777777" w:rsidR="00F8557C" w:rsidRDefault="00000000">
      <w:pPr>
        <w:pStyle w:val="Aufzhlungszeichen"/>
      </w:pPr>
      <w:r>
        <w:t>V. 1: Ursprung und Auftrag – Gott gibt die Offenbarung Jesus Christus; sie gilt seinen Dienern und betrifft das, was „in Kürze“ geschehen muss.</w:t>
      </w:r>
    </w:p>
    <w:p w14:paraId="7FE0B4F6" w14:textId="77777777" w:rsidR="00F8557C" w:rsidRDefault="00000000">
      <w:pPr>
        <w:pStyle w:val="Aufzhlungszeichen"/>
      </w:pPr>
      <w:r>
        <w:t>V. 1b–2: Vermittlung und Zeugnis – Engel → Johannes; Johannes bezeugt Wort Gottes und Zeugnis Jesu Christi, also das von ihm Geschaute.</w:t>
      </w:r>
    </w:p>
    <w:p w14:paraId="6A8B3F65" w14:textId="77777777" w:rsidR="00F8557C" w:rsidRDefault="00000000">
      <w:pPr>
        <w:pStyle w:val="Aufzhlungszeichen"/>
      </w:pPr>
      <w:r>
        <w:t>V. 3: Rezeption – ein Vorleser, mehrere Hörende; Hören soll zum Bewahren/ Befolgen führen. Die Begründung lautet: „die Zeit ist nahe“.</w:t>
      </w:r>
    </w:p>
    <w:p w14:paraId="7B0BF39C" w14:textId="77777777" w:rsidR="00F8557C" w:rsidRDefault="00000000">
      <w:r>
        <w:t>Innere Bewegung in einem Satz: Was bei Gott verborgen ist, wird durch Jesus Christus autoritativ mitgeteilt, von Johannes bezeugt und der Gemeinde zum hörenden und gehorsamen Empfang anvertraut.</w:t>
      </w:r>
    </w:p>
    <w:p w14:paraId="148D936C" w14:textId="77777777" w:rsidR="00F8557C" w:rsidRDefault="00000000">
      <w:pPr>
        <w:pStyle w:val="berschrift2"/>
      </w:pPr>
      <w:r>
        <w:t>1.2 Übersetzungsvergleich</w:t>
      </w:r>
    </w:p>
    <w:tbl>
      <w:tblPr>
        <w:tblStyle w:val="Tabellenraster"/>
        <w:tblW w:w="0" w:type="auto"/>
        <w:jc w:val="center"/>
        <w:tblLook w:val="04A0" w:firstRow="1" w:lastRow="0" w:firstColumn="1" w:lastColumn="0" w:noHBand="0" w:noVBand="1"/>
      </w:tblPr>
      <w:tblGrid>
        <w:gridCol w:w="2268"/>
        <w:gridCol w:w="2268"/>
        <w:gridCol w:w="2268"/>
        <w:gridCol w:w="2835"/>
      </w:tblGrid>
      <w:tr w:rsidR="00F8557C" w14:paraId="3E3D34A9" w14:textId="77777777">
        <w:trPr>
          <w:tblHeader/>
          <w:jc w:val="center"/>
        </w:trPr>
        <w:tc>
          <w:tcPr>
            <w:tcW w:w="2268" w:type="dxa"/>
            <w:shd w:val="clear" w:color="auto" w:fill="E6E1D8"/>
            <w:tcMar>
              <w:top w:w="90" w:type="dxa"/>
              <w:left w:w="100" w:type="dxa"/>
              <w:bottom w:w="90" w:type="dxa"/>
              <w:right w:w="100" w:type="dxa"/>
            </w:tcMar>
            <w:vAlign w:val="center"/>
          </w:tcPr>
          <w:p w14:paraId="165D5181" w14:textId="77777777" w:rsidR="00F8557C" w:rsidRDefault="00000000">
            <w:pPr>
              <w:jc w:val="center"/>
            </w:pPr>
            <w:r>
              <w:rPr>
                <w:b/>
              </w:rPr>
              <w:t>Stelle</w:t>
            </w:r>
          </w:p>
        </w:tc>
        <w:tc>
          <w:tcPr>
            <w:tcW w:w="2268" w:type="dxa"/>
            <w:shd w:val="clear" w:color="auto" w:fill="E6E1D8"/>
            <w:tcMar>
              <w:top w:w="90" w:type="dxa"/>
              <w:left w:w="100" w:type="dxa"/>
              <w:bottom w:w="90" w:type="dxa"/>
              <w:right w:w="100" w:type="dxa"/>
            </w:tcMar>
            <w:vAlign w:val="center"/>
          </w:tcPr>
          <w:p w14:paraId="150C8F58" w14:textId="77777777" w:rsidR="00F8557C" w:rsidRDefault="00000000">
            <w:pPr>
              <w:jc w:val="center"/>
            </w:pPr>
            <w:r>
              <w:rPr>
                <w:b/>
              </w:rPr>
              <w:t>Luther 2017</w:t>
            </w:r>
          </w:p>
        </w:tc>
        <w:tc>
          <w:tcPr>
            <w:tcW w:w="2268" w:type="dxa"/>
            <w:shd w:val="clear" w:color="auto" w:fill="E6E1D8"/>
            <w:tcMar>
              <w:top w:w="90" w:type="dxa"/>
              <w:left w:w="100" w:type="dxa"/>
              <w:bottom w:w="90" w:type="dxa"/>
              <w:right w:w="100" w:type="dxa"/>
            </w:tcMar>
            <w:vAlign w:val="center"/>
          </w:tcPr>
          <w:p w14:paraId="1DE3CF67" w14:textId="77777777" w:rsidR="00F8557C" w:rsidRDefault="00000000">
            <w:pPr>
              <w:jc w:val="center"/>
            </w:pPr>
            <w:r>
              <w:rPr>
                <w:b/>
              </w:rPr>
              <w:t>BasisBibel</w:t>
            </w:r>
          </w:p>
        </w:tc>
        <w:tc>
          <w:tcPr>
            <w:tcW w:w="2835" w:type="dxa"/>
            <w:shd w:val="clear" w:color="auto" w:fill="E6E1D8"/>
            <w:tcMar>
              <w:top w:w="90" w:type="dxa"/>
              <w:left w:w="100" w:type="dxa"/>
              <w:bottom w:w="90" w:type="dxa"/>
              <w:right w:w="100" w:type="dxa"/>
            </w:tcMar>
            <w:vAlign w:val="center"/>
          </w:tcPr>
          <w:p w14:paraId="4798713E" w14:textId="77777777" w:rsidR="00F8557C" w:rsidRDefault="00000000">
            <w:pPr>
              <w:jc w:val="center"/>
            </w:pPr>
            <w:r>
              <w:rPr>
                <w:b/>
              </w:rPr>
              <w:t>Exegetische Beobachtung</w:t>
            </w:r>
          </w:p>
        </w:tc>
      </w:tr>
      <w:tr w:rsidR="00F8557C" w14:paraId="080C7410" w14:textId="77777777">
        <w:trPr>
          <w:jc w:val="center"/>
        </w:trPr>
        <w:tc>
          <w:tcPr>
            <w:tcW w:w="2268" w:type="dxa"/>
            <w:tcMar>
              <w:top w:w="90" w:type="dxa"/>
              <w:left w:w="100" w:type="dxa"/>
              <w:bottom w:w="90" w:type="dxa"/>
              <w:right w:w="100" w:type="dxa"/>
            </w:tcMar>
          </w:tcPr>
          <w:p w14:paraId="4D1A08C4" w14:textId="77777777" w:rsidR="00F8557C" w:rsidRDefault="00000000">
            <w:r>
              <w:t>Offb 1,1 – ἀποκάλυψις Ἰησοῦ Χριστοῦ</w:t>
            </w:r>
          </w:p>
        </w:tc>
        <w:tc>
          <w:tcPr>
            <w:tcW w:w="2268" w:type="dxa"/>
            <w:tcMar>
              <w:top w:w="90" w:type="dxa"/>
              <w:left w:w="100" w:type="dxa"/>
              <w:bottom w:w="90" w:type="dxa"/>
              <w:right w:w="100" w:type="dxa"/>
            </w:tcMar>
          </w:tcPr>
          <w:p w14:paraId="7ACF2B14" w14:textId="77777777" w:rsidR="00F8557C" w:rsidRDefault="00000000">
            <w:r>
              <w:t>Luther 2017: „Offenbarung Jesu Christi“</w:t>
            </w:r>
          </w:p>
        </w:tc>
        <w:tc>
          <w:tcPr>
            <w:tcW w:w="2268" w:type="dxa"/>
            <w:tcMar>
              <w:top w:w="90" w:type="dxa"/>
              <w:left w:w="100" w:type="dxa"/>
              <w:bottom w:w="90" w:type="dxa"/>
              <w:right w:w="100" w:type="dxa"/>
            </w:tcMar>
          </w:tcPr>
          <w:p w14:paraId="78B4A356" w14:textId="77777777" w:rsidR="00F8557C" w:rsidRDefault="00000000">
            <w:r>
              <w:t>BasisBibel: „Offenbarung, die Jesus Christus von Gott empfangen hat“</w:t>
            </w:r>
          </w:p>
        </w:tc>
        <w:tc>
          <w:tcPr>
            <w:tcW w:w="2835" w:type="dxa"/>
            <w:tcMar>
              <w:top w:w="90" w:type="dxa"/>
              <w:left w:w="100" w:type="dxa"/>
              <w:bottom w:w="90" w:type="dxa"/>
              <w:right w:w="100" w:type="dxa"/>
            </w:tcMar>
          </w:tcPr>
          <w:p w14:paraId="44EB0ADC" w14:textId="77777777" w:rsidR="00F8557C" w:rsidRDefault="00000000">
            <w:r>
              <w:t>BB entscheidet deutlicher für Jesus als Empfänger/Mittler; die griechische Genitivverbindung bleibt grammatisch weiter.</w:t>
            </w:r>
          </w:p>
        </w:tc>
      </w:tr>
      <w:tr w:rsidR="00F8557C" w14:paraId="49096028" w14:textId="77777777">
        <w:trPr>
          <w:jc w:val="center"/>
        </w:trPr>
        <w:tc>
          <w:tcPr>
            <w:tcW w:w="2268" w:type="dxa"/>
            <w:tcMar>
              <w:top w:w="90" w:type="dxa"/>
              <w:left w:w="100" w:type="dxa"/>
              <w:bottom w:w="90" w:type="dxa"/>
              <w:right w:w="100" w:type="dxa"/>
            </w:tcMar>
          </w:tcPr>
          <w:p w14:paraId="60CD50FE" w14:textId="77777777" w:rsidR="00F8557C" w:rsidRDefault="00000000">
            <w:r>
              <w:t>Offb 1,1 – ἐν τάχει</w:t>
            </w:r>
          </w:p>
        </w:tc>
        <w:tc>
          <w:tcPr>
            <w:tcW w:w="2268" w:type="dxa"/>
            <w:tcMar>
              <w:top w:w="90" w:type="dxa"/>
              <w:left w:w="100" w:type="dxa"/>
              <w:bottom w:w="90" w:type="dxa"/>
              <w:right w:w="100" w:type="dxa"/>
            </w:tcMar>
          </w:tcPr>
          <w:p w14:paraId="3FA90F8B" w14:textId="77777777" w:rsidR="00F8557C" w:rsidRDefault="00000000">
            <w:r>
              <w:t>„in Kürze“</w:t>
            </w:r>
          </w:p>
        </w:tc>
        <w:tc>
          <w:tcPr>
            <w:tcW w:w="2268" w:type="dxa"/>
            <w:tcMar>
              <w:top w:w="90" w:type="dxa"/>
              <w:left w:w="100" w:type="dxa"/>
              <w:bottom w:w="90" w:type="dxa"/>
              <w:right w:w="100" w:type="dxa"/>
            </w:tcMar>
          </w:tcPr>
          <w:p w14:paraId="53C61738" w14:textId="77777777" w:rsidR="00F8557C" w:rsidRDefault="00000000">
            <w:r>
              <w:t>„in Kürze“ / Erfüllung steht nahe</w:t>
            </w:r>
          </w:p>
        </w:tc>
        <w:tc>
          <w:tcPr>
            <w:tcW w:w="2835" w:type="dxa"/>
            <w:tcMar>
              <w:top w:w="90" w:type="dxa"/>
              <w:left w:w="100" w:type="dxa"/>
              <w:bottom w:w="90" w:type="dxa"/>
              <w:right w:w="100" w:type="dxa"/>
            </w:tcMar>
          </w:tcPr>
          <w:p w14:paraId="7175A35F" w14:textId="77777777" w:rsidR="00F8557C" w:rsidRDefault="00000000">
            <w:r>
              <w:t>Beide bewahren die Naherwartung. Ein bloßes „wenn es kommt, dann schnell“ wird durch V. 3 nicht nahegelegt.</w:t>
            </w:r>
          </w:p>
        </w:tc>
      </w:tr>
      <w:tr w:rsidR="00F8557C" w14:paraId="4677F194" w14:textId="77777777">
        <w:trPr>
          <w:jc w:val="center"/>
        </w:trPr>
        <w:tc>
          <w:tcPr>
            <w:tcW w:w="2268" w:type="dxa"/>
            <w:tcMar>
              <w:top w:w="90" w:type="dxa"/>
              <w:left w:w="100" w:type="dxa"/>
              <w:bottom w:w="90" w:type="dxa"/>
              <w:right w:w="100" w:type="dxa"/>
            </w:tcMar>
          </w:tcPr>
          <w:p w14:paraId="07BAC70F" w14:textId="77777777" w:rsidR="00F8557C" w:rsidRDefault="00000000">
            <w:r>
              <w:t>Offb 1,1 – ἐσήμανεν</w:t>
            </w:r>
          </w:p>
        </w:tc>
        <w:tc>
          <w:tcPr>
            <w:tcW w:w="2268" w:type="dxa"/>
            <w:tcMar>
              <w:top w:w="90" w:type="dxa"/>
              <w:left w:w="100" w:type="dxa"/>
              <w:bottom w:w="90" w:type="dxa"/>
              <w:right w:w="100" w:type="dxa"/>
            </w:tcMar>
          </w:tcPr>
          <w:p w14:paraId="23734CD6" w14:textId="77777777" w:rsidR="00F8557C" w:rsidRDefault="00000000">
            <w:r>
              <w:t>„gedeutet und gesandt“</w:t>
            </w:r>
          </w:p>
        </w:tc>
        <w:tc>
          <w:tcPr>
            <w:tcW w:w="2268" w:type="dxa"/>
            <w:tcMar>
              <w:top w:w="90" w:type="dxa"/>
              <w:left w:w="100" w:type="dxa"/>
              <w:bottom w:w="90" w:type="dxa"/>
              <w:right w:w="100" w:type="dxa"/>
            </w:tcMar>
          </w:tcPr>
          <w:p w14:paraId="19578509" w14:textId="77777777" w:rsidR="00F8557C" w:rsidRDefault="00000000">
            <w:r>
              <w:t>„bekannt zu machen“</w:t>
            </w:r>
          </w:p>
        </w:tc>
        <w:tc>
          <w:tcPr>
            <w:tcW w:w="2835" w:type="dxa"/>
            <w:tcMar>
              <w:top w:w="90" w:type="dxa"/>
              <w:left w:w="100" w:type="dxa"/>
              <w:bottom w:w="90" w:type="dxa"/>
              <w:right w:w="100" w:type="dxa"/>
            </w:tcMar>
          </w:tcPr>
          <w:p w14:paraId="4D977533" w14:textId="77777777" w:rsidR="00F8557C" w:rsidRDefault="00000000">
            <w:r>
              <w:t>Luther betont deutende Vermittlung; BB den Kommunikationsakt. Das Verb kann „anzeigen / kundtun / signalisieren“ bedeuten.</w:t>
            </w:r>
          </w:p>
        </w:tc>
      </w:tr>
      <w:tr w:rsidR="00F8557C" w14:paraId="23D2C8B1" w14:textId="77777777">
        <w:trPr>
          <w:jc w:val="center"/>
        </w:trPr>
        <w:tc>
          <w:tcPr>
            <w:tcW w:w="2268" w:type="dxa"/>
            <w:tcMar>
              <w:top w:w="90" w:type="dxa"/>
              <w:left w:w="100" w:type="dxa"/>
              <w:bottom w:w="90" w:type="dxa"/>
              <w:right w:w="100" w:type="dxa"/>
            </w:tcMar>
          </w:tcPr>
          <w:p w14:paraId="027BA29F" w14:textId="77777777" w:rsidR="00F8557C" w:rsidRDefault="00000000">
            <w:r>
              <w:t>Offb 1,3 – ἀναγινώσκων / ἀκούοντες</w:t>
            </w:r>
          </w:p>
        </w:tc>
        <w:tc>
          <w:tcPr>
            <w:tcW w:w="2268" w:type="dxa"/>
            <w:tcMar>
              <w:top w:w="90" w:type="dxa"/>
              <w:left w:w="100" w:type="dxa"/>
              <w:bottom w:w="90" w:type="dxa"/>
              <w:right w:w="100" w:type="dxa"/>
            </w:tcMar>
          </w:tcPr>
          <w:p w14:paraId="5C1A57CC" w14:textId="77777777" w:rsidR="00F8557C" w:rsidRDefault="00000000">
            <w:r>
              <w:t>„der da liest / die da hören“</w:t>
            </w:r>
          </w:p>
        </w:tc>
        <w:tc>
          <w:tcPr>
            <w:tcW w:w="2268" w:type="dxa"/>
            <w:tcMar>
              <w:top w:w="90" w:type="dxa"/>
              <w:left w:w="100" w:type="dxa"/>
              <w:bottom w:w="90" w:type="dxa"/>
              <w:right w:w="100" w:type="dxa"/>
            </w:tcMar>
          </w:tcPr>
          <w:p w14:paraId="79A70320" w14:textId="77777777" w:rsidR="00F8557C" w:rsidRDefault="00000000">
            <w:r>
              <w:t>„wer ... vorliest / die ... hören“</w:t>
            </w:r>
          </w:p>
        </w:tc>
        <w:tc>
          <w:tcPr>
            <w:tcW w:w="2835" w:type="dxa"/>
            <w:tcMar>
              <w:top w:w="90" w:type="dxa"/>
              <w:left w:w="100" w:type="dxa"/>
              <w:bottom w:w="90" w:type="dxa"/>
              <w:right w:w="100" w:type="dxa"/>
            </w:tcMar>
          </w:tcPr>
          <w:p w14:paraId="172FE78D" w14:textId="77777777" w:rsidR="00F8557C" w:rsidRDefault="00000000">
            <w:r>
              <w:t>BB macht den wahrscheinlich öffentlichen Vorlesevorgang sichtbar.</w:t>
            </w:r>
          </w:p>
        </w:tc>
      </w:tr>
      <w:tr w:rsidR="00F8557C" w14:paraId="7AD83E7D" w14:textId="77777777">
        <w:trPr>
          <w:jc w:val="center"/>
        </w:trPr>
        <w:tc>
          <w:tcPr>
            <w:tcW w:w="2268" w:type="dxa"/>
            <w:tcMar>
              <w:top w:w="90" w:type="dxa"/>
              <w:left w:w="100" w:type="dxa"/>
              <w:bottom w:w="90" w:type="dxa"/>
              <w:right w:w="100" w:type="dxa"/>
            </w:tcMar>
          </w:tcPr>
          <w:p w14:paraId="6869F82E" w14:textId="77777777" w:rsidR="00F8557C" w:rsidRDefault="00000000">
            <w:r>
              <w:t>Offb 1,3 – τηροῦντες</w:t>
            </w:r>
          </w:p>
        </w:tc>
        <w:tc>
          <w:tcPr>
            <w:tcW w:w="2268" w:type="dxa"/>
            <w:tcMar>
              <w:top w:w="90" w:type="dxa"/>
              <w:left w:w="100" w:type="dxa"/>
              <w:bottom w:w="90" w:type="dxa"/>
              <w:right w:w="100" w:type="dxa"/>
            </w:tcMar>
          </w:tcPr>
          <w:p w14:paraId="4462DA4C" w14:textId="77777777" w:rsidR="00F8557C" w:rsidRDefault="00000000">
            <w:r>
              <w:t>„behalten“</w:t>
            </w:r>
          </w:p>
        </w:tc>
        <w:tc>
          <w:tcPr>
            <w:tcW w:w="2268" w:type="dxa"/>
            <w:tcMar>
              <w:top w:w="90" w:type="dxa"/>
              <w:left w:w="100" w:type="dxa"/>
              <w:bottom w:w="90" w:type="dxa"/>
              <w:right w:w="100" w:type="dxa"/>
            </w:tcMar>
          </w:tcPr>
          <w:p w14:paraId="1F5D6A6E" w14:textId="77777777" w:rsidR="00F8557C" w:rsidRDefault="00000000">
            <w:r>
              <w:t>„befolgen“</w:t>
            </w:r>
          </w:p>
        </w:tc>
        <w:tc>
          <w:tcPr>
            <w:tcW w:w="2835" w:type="dxa"/>
            <w:tcMar>
              <w:top w:w="90" w:type="dxa"/>
              <w:left w:w="100" w:type="dxa"/>
              <w:bottom w:w="90" w:type="dxa"/>
              <w:right w:w="100" w:type="dxa"/>
            </w:tcMar>
          </w:tcPr>
          <w:p w14:paraId="5DC8C91D" w14:textId="77777777" w:rsidR="00F8557C" w:rsidRDefault="00000000">
            <w:r>
              <w:t xml:space="preserve">BB legt den Handlungsaspekt offen: </w:t>
            </w:r>
            <w:r>
              <w:lastRenderedPageBreak/>
              <w:t>Hören zielt auf treues Bewahren und Tun.</w:t>
            </w:r>
          </w:p>
        </w:tc>
      </w:tr>
    </w:tbl>
    <w:p w14:paraId="54E24343" w14:textId="77777777" w:rsidR="00F8557C" w:rsidRDefault="00000000">
      <w:pPr>
        <w:pStyle w:val="berschrift2"/>
      </w:pPr>
      <w:r>
        <w:lastRenderedPageBreak/>
        <w:t>1.3 Textkritik</w:t>
      </w:r>
    </w:p>
    <w:p w14:paraId="073B32F1" w14:textId="77777777" w:rsidR="00F8557C" w:rsidRDefault="00000000">
      <w:r>
        <w:t>Für die Hauptaussagen von Offb 1,1–3 ist keine textkritische Variante erkennbar, die die Grundexegese verändert. In V. 2 begegnen in späteren Texttraditionen kleinere Zusätze bzw. Formen (z. B. ein zusätzliches τε bei „was er sah“); in V. 3 gibt es kleinere Varianten bei „Wort/Worte“. Der Überlieferungsbefund bestätigt insgesamt die Stabilität der zentralen Aussagen: Offenbarung – Vermittlung – Zeugnis – Seligpreisung.</w:t>
      </w:r>
    </w:p>
    <w:p w14:paraId="051DF39D" w14:textId="77777777" w:rsidR="00F8557C" w:rsidRDefault="00000000">
      <w:r>
        <w:t>Für eine wissenschaftliche Edition bleibt zu beachten, dass die Textüberlieferung der Offenbarung insgesamt komplizierter ist als in vielen anderen neutestamentlichen Büchern. Für 1,1–3 sind die interpretatorisch entscheidenden Formulierungen jedoch breit bezeugt.</w:t>
      </w:r>
    </w:p>
    <w:p w14:paraId="69177A04" w14:textId="77777777" w:rsidR="00F8557C" w:rsidRDefault="00000000">
      <w:pPr>
        <w:pStyle w:val="berschrift2"/>
      </w:pPr>
      <w:r>
        <w:t>1.4 Situation und historischer Kontext – vorläufig</w:t>
      </w:r>
    </w:p>
    <w:p w14:paraId="44B0DD32" w14:textId="77777777" w:rsidR="00F8557C" w:rsidRDefault="00000000">
      <w:r>
        <w:t>Der Text nennt Johannes als „Diener“ und richtet die Offenbarung an „Diener“ Gottes. Erst 1,4 konkretisiert die Adressaten als sieben Gemeinden in der römischen Provinz Asia. Das Vorwort setzt also keine private Geheimschrift voraus, sondern eine Botschaft, die in realen Gemeinden vorgelesen und gehört wird.</w:t>
      </w:r>
    </w:p>
    <w:p w14:paraId="502296AA" w14:textId="77777777" w:rsidR="00F8557C" w:rsidRDefault="00000000">
      <w:r>
        <w:t>Vorläufig ist mit einem Umfeld zu rechnen, in dem christliche Gemeinden ihre Loyalität zu Gott und Christus innerhalb der religiösen, politischen und wirtschaftlichen Welt des römischen Kleinasien klären mussten. Eine reichsweite, zentral organisierte Christenverfolgung darf aus 1,1–3 nicht abgeleitet werden. Die genaue historische Rekonstruktion wird in Phase B geprüft.</w:t>
      </w:r>
    </w:p>
    <w:p w14:paraId="59FAC6E1" w14:textId="77777777" w:rsidR="00F8557C" w:rsidRDefault="00000000">
      <w:pPr>
        <w:pStyle w:val="berschrift2"/>
      </w:pPr>
      <w:r>
        <w:t>1.5 Biblischer und intertextueller Kontext</w:t>
      </w:r>
    </w:p>
    <w:p w14:paraId="04AC9EC0" w14:textId="77777777" w:rsidR="00F8557C" w:rsidRDefault="00000000">
      <w:r>
        <w:t>Das Vorwort greift Sprache des Danielbuches auf. Besonders ἃ δεῖ γενέσθαι („was geschehen muss“) erinnert an Dan 2,28–29; dort offenbart Gott dem König, was geschehen wird. Offb 1,1 verschiebt die Perspektive: Was Daniel für die „letzten Tage“ sah, wird nun als „in Kürze“ bzw. „nahe“ bezeichnet. Dadurch wird die Gemeinde in eine eschatologisch gespannte Gegenwart gestellt.</w:t>
      </w:r>
    </w:p>
    <w:p w14:paraId="6D52ECA3" w14:textId="77777777" w:rsidR="00F8557C" w:rsidRDefault="00000000">
      <w:r>
        <w:t>Der Vermittlungsweg durch einen Engel entspricht apokalyptischer Offenbarungstradition. Zugleich bezeichnet V. 3 das Werk ausdrücklich als „Prophetie“: Die Offenbarung ist nicht nur Vision, sondern prophetisches Wort an die Gemeinde.</w:t>
      </w:r>
    </w:p>
    <w:p w14:paraId="214D0E98" w14:textId="77777777" w:rsidR="00F8557C" w:rsidRDefault="00000000">
      <w:r>
        <w:t>Der Prolog wird am Buchende in Offb 22,6–7.10.16 nahezu gespiegelt: erneut erscheinen Engel, Diener, „bald“, „Prophetie“, Bewahren und Jesus als derjenige, der seinen Engel sendet. 1,1–3 und 22,6–21 bilden damit einen programmatischen Rahmen.</w:t>
      </w:r>
    </w:p>
    <w:p w14:paraId="2435ADEB" w14:textId="77777777" w:rsidR="00F8557C" w:rsidRDefault="00000000">
      <w:pPr>
        <w:pStyle w:val="berschrift2"/>
      </w:pPr>
      <w:r>
        <w:t>1.6 Versweise Exegese</w:t>
      </w:r>
    </w:p>
    <w:p w14:paraId="3A5DDBE6" w14:textId="77777777" w:rsidR="00F8557C" w:rsidRDefault="00000000">
      <w:pPr>
        <w:pStyle w:val="berschrift3"/>
      </w:pPr>
      <w:r>
        <w:t>Vers 1 – Offenbarung: von Gott, durch Christus, für die Gemeinde</w:t>
      </w:r>
    </w:p>
    <w:p w14:paraId="3DC9E3FE" w14:textId="77777777" w:rsidR="00F8557C" w:rsidRDefault="00000000">
      <w:r>
        <w:t>Ἀποκάλυψις (apokálypsis) bedeutet Enthüllung, Offenlegung, Offenbarung. Schon das erste Wort korrigiert den modernen Sprachgebrauch, in dem „Apokalypse“ fast nur „Katastrophe“ bedeutet. Das Buch versteht sich zuerst als von Gott gewährte Einsicht in verborgene Wirklichkeit.</w:t>
      </w:r>
    </w:p>
    <w:p w14:paraId="053C4E29" w14:textId="77777777" w:rsidR="00F8557C" w:rsidRDefault="00000000">
      <w:r>
        <w:t xml:space="preserve">Die Genitivverbindung Ἰησοῦ Χριστοῦ kann grammatisch „Offenbarung von Jesus Christus“ (Quelle/Mittler) oder „Offenbarung über Jesus Christus“ (Inhalt) bedeuten. Der folgende Relativsatz – Gott gab sie ihm, damit er sie zeigt – macht die Quell-/Mittlerbedeutung im unmittelbaren Satz am stärksten. Inhaltlich ist Jesus zugleich zentrale Gestalt dessen, was enthüllt wird. Eine „plenarische“ Lesart – von Christus und über </w:t>
      </w:r>
      <w:r>
        <w:lastRenderedPageBreak/>
        <w:t>Christus – ist daher theologisch plausibel, darf aber die syntaktische Priorität des Vermittlungssinns nicht verwischen.</w:t>
      </w:r>
    </w:p>
    <w:p w14:paraId="758F27EC" w14:textId="77777777" w:rsidR="00F8557C" w:rsidRDefault="00000000">
      <w:r>
        <w:t>ἣν ἔδωκεν αὐτῷ ὁ θεός: Gott ist die letzte Quelle der Offenbarung. Jesus Christus empfängt und vermittelt. Diese Aussage beschreibt eine Offenbarungsordnung und ist nicht als Aussage über einen geringeren ontologischen Rang Christi zu lesen; das Gesamtbuch verwendet für Christus ausdrücklich göttliche Würde- und Herrschaftsprädikate.</w:t>
      </w:r>
    </w:p>
    <w:p w14:paraId="0FFB8F4F" w14:textId="77777777" w:rsidR="00F8557C" w:rsidRDefault="00000000">
      <w:r>
        <w:t>δεῖξαι τοῖς δούλοις αὐτοῦ: Das Ziel ist „zeigen“. Offenbarung will Wahrnehmung verändern. δοῦλοι („Sklaven/Diener“) bezeichnet hier Gottes Menschen in ihrer Zugehörigkeit und Beauftragung. Johannes ist in derselben Kategorie wie die Adressaten: Er steht nicht über ihnen als esoterischer Wissensbesitzer.</w:t>
      </w:r>
    </w:p>
    <w:p w14:paraId="40B585DE" w14:textId="77777777" w:rsidR="00F8557C" w:rsidRDefault="00000000">
      <w:r>
        <w:t>ἃ δεῖ γενέσθαι: δεῖ markiert Notwendigkeit. Im Daniel-Hintergrund ist damit nicht blinder Determinismus gemeint, sondern die Gewissheit von Gottes Geschichtshandeln.</w:t>
      </w:r>
    </w:p>
    <w:p w14:paraId="0EDD6A05" w14:textId="77777777" w:rsidR="00F8557C" w:rsidRDefault="00000000">
      <w:r>
        <w:t>ἐν τάχει: Am ehesten „bald / in Kürze“. Die unmittelbar folgende Aussage ὁ καιρὸς ἐγγύς („die Zeit ist nahe“) verstärkt die temporale Naherwartung. Der Text darf nicht so entschärft werden, als meine er ausschließlich „wenn es geschieht, dann schnell“. Zugleich zeigt die spätere Rezeptionsgeschichte, dass die Spannung zwischen Naherwartung und ausbleibender Vollendung theologisch ausgehalten werden muss.</w:t>
      </w:r>
    </w:p>
    <w:p w14:paraId="5F390985" w14:textId="77777777" w:rsidR="00F8557C" w:rsidRDefault="00000000">
      <w:r>
        <w:t>ἐσήμανεν (von σημαίνω): „er machte bekannt / zeigte an / signalisierte“. Das Verb kann mit Zeichenkommunikation verbunden sein; der Daniel-Hintergrund und die Bildsprache des Buches machen diesen Aspekt wichtig. Es ist jedoch lexikalisch zu stark, aus dem Verb allein abzuleiten, jedes Detail des Buches müsse symbolisch verstanden werden.</w:t>
      </w:r>
    </w:p>
    <w:p w14:paraId="2A2F2D00" w14:textId="77777777" w:rsidR="00F8557C" w:rsidRDefault="00000000">
      <w:r>
        <w:t>ἀποστείλας διὰ τοῦ ἀγγέλου ... Ἰωάννῃ: Die Mitteilung erhält eine Kette: Gott → Jesus Christus → Engel → Johannes → Diener/Gemeinden. Das stärkt nicht Geheimwissen, sondern die Autorität und Verlässlichkeit der Botschaft.</w:t>
      </w:r>
    </w:p>
    <w:p w14:paraId="6EDE323D" w14:textId="77777777" w:rsidR="00F8557C" w:rsidRDefault="00000000">
      <w:pPr>
        <w:pStyle w:val="berschrift3"/>
      </w:pPr>
      <w:r>
        <w:t>Vers 2 – Johannes als Zeuge</w:t>
      </w:r>
    </w:p>
    <w:p w14:paraId="5D3A34CF" w14:textId="77777777" w:rsidR="00F8557C" w:rsidRDefault="00000000">
      <w:r>
        <w:t>ἐμαρτύρησεν („bezeugte“) und μαρτυρία („Zeugnis“) rahmen die Rolle des Johannes. Er erfindet die Botschaft nicht und tritt nicht als Spekulant auf, sondern als Zeuge dessen, was er empfangen und gesehen hat.</w:t>
      </w:r>
    </w:p>
    <w:p w14:paraId="1D08E3B6" w14:textId="77777777" w:rsidR="00F8557C" w:rsidRDefault="00000000">
      <w:r>
        <w:t>„Wort Gottes“ und „Zeugnis Jesu Christi“ können als zwei parallele Bezeichnungen derselben Offenbarungswirklichkeit gelesen werden. Auch bei „Zeugnis Jesu Christi“ ist die Genitivrichtung nicht völlig neutral: Im Zusammenhang ist besonders das von Jesus ausgehende Zeugnis gemeint, das Johannes weitergibt; zugleich bezeugt das ganze Buch Jesus.</w:t>
      </w:r>
    </w:p>
    <w:p w14:paraId="79146FEA" w14:textId="77777777" w:rsidR="00F8557C" w:rsidRDefault="00000000">
      <w:r>
        <w:t>ὅσα εἶδεν („alles, was er sah“) macht die visuelle Dimension deutlich. Offenbarung wird gesehen, aber sie wird zu Wort, Zeugnis und Schrift. Sehen, Sagen, Schreiben und Hören gehören zusammen.</w:t>
      </w:r>
    </w:p>
    <w:p w14:paraId="20166A0F" w14:textId="77777777" w:rsidR="00F8557C" w:rsidRDefault="00000000">
      <w:pPr>
        <w:pStyle w:val="berschrift3"/>
      </w:pPr>
      <w:r>
        <w:t>Vers 3 – Selig sind Lesen, Hören und Bewahren</w:t>
      </w:r>
    </w:p>
    <w:p w14:paraId="16EF7348" w14:textId="77777777" w:rsidR="00F8557C" w:rsidRDefault="00000000">
      <w:r>
        <w:t>Μακάριος („selig / glückselig“) eröffnet die erste der Seligpreisungen der Offenbarung. Das ist theologisch bemerkenswert: Das Buch beginnt seine Leser nicht mit Fluch oder Drohung, sondern mit einem Zuspruch.</w:t>
      </w:r>
    </w:p>
    <w:p w14:paraId="7B263C9D" w14:textId="77777777" w:rsidR="00F8557C" w:rsidRDefault="00000000">
      <w:r>
        <w:t>ὁ ἀναγινώσκων steht im Singular, οἱ ἀκούοντες im Plural. Das passt sehr gut zur öffentlichen Lesesituation: eine Person liest, die versammelte Gemeinde hört. Die Offenbarung ist von Anfang an ein Gemeindebuch und ein Hörtext.</w:t>
      </w:r>
    </w:p>
    <w:p w14:paraId="04F03A5D" w14:textId="77777777" w:rsidR="00F8557C" w:rsidRDefault="00000000">
      <w:r>
        <w:t>τοὺς λόγους τῆς προφητείας: Das Buch nennt sich Prophetie. Prophetie wird dadurch nicht auf Zukunftsvorhersage reduziert. Sie ist autoritatives Gotteszeugnis, das Gegenwart und Zukunft im Licht Gottes deutet und die Gemeinde zur Treue ruft.</w:t>
      </w:r>
    </w:p>
    <w:p w14:paraId="0EFBC7D9" w14:textId="77777777" w:rsidR="00F8557C" w:rsidRDefault="00000000">
      <w:r>
        <w:t>τηροῦντες („bewahren, festhalten, befolgen“) ist der entscheidende dritte Schritt. Offenbarung zielt nicht auf Neugier, sondern auf Praxis: lesen → hören → bewahren. Wer nur nach Endzeitterminen fragt, hat die kommunikative Zielrichtung des Prologs verfehlt.</w:t>
      </w:r>
    </w:p>
    <w:p w14:paraId="6C2E7CF0" w14:textId="77777777" w:rsidR="00F8557C" w:rsidRDefault="00000000">
      <w:r>
        <w:lastRenderedPageBreak/>
        <w:t>ὁ γὰρ καιρὸς ἐγγύς: καιρός bezeichnet den entscheidenden Zeitpunkt bzw. die qualifizierte Zeit; ἐγγύς bedeutet „nahe“. Die Gemeinde soll nicht in Panik geraten, sondern in wacher Treue leben.</w:t>
      </w:r>
    </w:p>
    <w:p w14:paraId="4E7BEA5D" w14:textId="77777777" w:rsidR="00F8557C" w:rsidRDefault="00000000">
      <w:pPr>
        <w:pStyle w:val="berschrift2"/>
      </w:pPr>
      <w:r>
        <w:t>1.7 Vorläufige exegetische Landkarte</w:t>
      </w:r>
    </w:p>
    <w:tbl>
      <w:tblPr>
        <w:tblStyle w:val="Tabellenraster"/>
        <w:tblW w:w="0" w:type="auto"/>
        <w:jc w:val="center"/>
        <w:tblLook w:val="04A0" w:firstRow="1" w:lastRow="0" w:firstColumn="1" w:lastColumn="0" w:noHBand="0" w:noVBand="1"/>
      </w:tblPr>
      <w:tblGrid>
        <w:gridCol w:w="2826"/>
        <w:gridCol w:w="3951"/>
        <w:gridCol w:w="3395"/>
      </w:tblGrid>
      <w:tr w:rsidR="00F8557C" w14:paraId="74E3B94C" w14:textId="77777777">
        <w:trPr>
          <w:tblHeader/>
          <w:jc w:val="center"/>
        </w:trPr>
        <w:tc>
          <w:tcPr>
            <w:tcW w:w="2835" w:type="dxa"/>
            <w:shd w:val="clear" w:color="auto" w:fill="E6E1D8"/>
            <w:tcMar>
              <w:top w:w="90" w:type="dxa"/>
              <w:left w:w="100" w:type="dxa"/>
              <w:bottom w:w="90" w:type="dxa"/>
              <w:right w:w="100" w:type="dxa"/>
            </w:tcMar>
            <w:vAlign w:val="center"/>
          </w:tcPr>
          <w:p w14:paraId="02DAD046" w14:textId="77777777" w:rsidR="00F8557C" w:rsidRDefault="00000000">
            <w:pPr>
              <w:jc w:val="center"/>
            </w:pPr>
            <w:r>
              <w:rPr>
                <w:b/>
              </w:rPr>
              <w:t>Frage</w:t>
            </w:r>
          </w:p>
        </w:tc>
        <w:tc>
          <w:tcPr>
            <w:tcW w:w="3969" w:type="dxa"/>
            <w:shd w:val="clear" w:color="auto" w:fill="E6E1D8"/>
            <w:tcMar>
              <w:top w:w="90" w:type="dxa"/>
              <w:left w:w="100" w:type="dxa"/>
              <w:bottom w:w="90" w:type="dxa"/>
              <w:right w:w="100" w:type="dxa"/>
            </w:tcMar>
            <w:vAlign w:val="center"/>
          </w:tcPr>
          <w:p w14:paraId="1F74C2C8" w14:textId="77777777" w:rsidR="00F8557C" w:rsidRDefault="00000000">
            <w:pPr>
              <w:jc w:val="center"/>
            </w:pPr>
            <w:r>
              <w:rPr>
                <w:b/>
              </w:rPr>
              <w:t>Vorläufiger Befund</w:t>
            </w:r>
          </w:p>
        </w:tc>
        <w:tc>
          <w:tcPr>
            <w:tcW w:w="3402" w:type="dxa"/>
            <w:shd w:val="clear" w:color="auto" w:fill="E6E1D8"/>
            <w:tcMar>
              <w:top w:w="90" w:type="dxa"/>
              <w:left w:w="100" w:type="dxa"/>
              <w:bottom w:w="90" w:type="dxa"/>
              <w:right w:w="100" w:type="dxa"/>
            </w:tcMar>
            <w:vAlign w:val="center"/>
          </w:tcPr>
          <w:p w14:paraId="5D6132B9" w14:textId="77777777" w:rsidR="00F8557C" w:rsidRDefault="00000000">
            <w:pPr>
              <w:jc w:val="center"/>
            </w:pPr>
            <w:r>
              <w:rPr>
                <w:b/>
              </w:rPr>
              <w:t>Prüfauftrag</w:t>
            </w:r>
          </w:p>
        </w:tc>
      </w:tr>
      <w:tr w:rsidR="00F8557C" w14:paraId="2B676932" w14:textId="77777777">
        <w:trPr>
          <w:jc w:val="center"/>
        </w:trPr>
        <w:tc>
          <w:tcPr>
            <w:tcW w:w="2835" w:type="dxa"/>
            <w:tcMar>
              <w:top w:w="90" w:type="dxa"/>
              <w:left w:w="100" w:type="dxa"/>
              <w:bottom w:w="90" w:type="dxa"/>
              <w:right w:w="100" w:type="dxa"/>
            </w:tcMar>
          </w:tcPr>
          <w:p w14:paraId="5F488D7F" w14:textId="77777777" w:rsidR="00F8557C" w:rsidRDefault="00000000">
            <w:r>
              <w:t>Was bedeutet „Offenbarung Jesu Christi“?</w:t>
            </w:r>
          </w:p>
        </w:tc>
        <w:tc>
          <w:tcPr>
            <w:tcW w:w="3969" w:type="dxa"/>
            <w:tcMar>
              <w:top w:w="90" w:type="dxa"/>
              <w:left w:w="100" w:type="dxa"/>
              <w:bottom w:w="90" w:type="dxa"/>
              <w:right w:w="100" w:type="dxa"/>
            </w:tcMar>
          </w:tcPr>
          <w:p w14:paraId="7D6928C2" w14:textId="77777777" w:rsidR="00F8557C" w:rsidRDefault="00000000">
            <w:r>
              <w:t>Primär: von/ durch Jesus Christus; zugleich inhaltlich auf ihn konzentriert.</w:t>
            </w:r>
          </w:p>
        </w:tc>
        <w:tc>
          <w:tcPr>
            <w:tcW w:w="3402" w:type="dxa"/>
            <w:tcMar>
              <w:top w:w="90" w:type="dxa"/>
              <w:left w:w="100" w:type="dxa"/>
              <w:bottom w:w="90" w:type="dxa"/>
              <w:right w:w="100" w:type="dxa"/>
            </w:tcMar>
          </w:tcPr>
          <w:p w14:paraId="464DA2B2" w14:textId="77777777" w:rsidR="00F8557C" w:rsidRDefault="00000000">
            <w:r>
              <w:t>Genitivfunktion und Gesamtchristologie prüfen.</w:t>
            </w:r>
          </w:p>
        </w:tc>
      </w:tr>
      <w:tr w:rsidR="00F8557C" w14:paraId="110F95D2" w14:textId="77777777">
        <w:trPr>
          <w:jc w:val="center"/>
        </w:trPr>
        <w:tc>
          <w:tcPr>
            <w:tcW w:w="2835" w:type="dxa"/>
            <w:tcMar>
              <w:top w:w="90" w:type="dxa"/>
              <w:left w:w="100" w:type="dxa"/>
              <w:bottom w:w="90" w:type="dxa"/>
              <w:right w:w="100" w:type="dxa"/>
            </w:tcMar>
          </w:tcPr>
          <w:p w14:paraId="393B7789" w14:textId="77777777" w:rsidR="00F8557C" w:rsidRDefault="00000000">
            <w:r>
              <w:t>Was heißt „in Kürze“ / „die Zeit ist nahe“?</w:t>
            </w:r>
          </w:p>
        </w:tc>
        <w:tc>
          <w:tcPr>
            <w:tcW w:w="3969" w:type="dxa"/>
            <w:tcMar>
              <w:top w:w="90" w:type="dxa"/>
              <w:left w:w="100" w:type="dxa"/>
              <w:bottom w:w="90" w:type="dxa"/>
              <w:right w:w="100" w:type="dxa"/>
            </w:tcMar>
          </w:tcPr>
          <w:p w14:paraId="39658A7A" w14:textId="77777777" w:rsidR="00F8557C" w:rsidRDefault="00000000">
            <w:r>
              <w:t>Echte Naherwartung und eschatologische Dringlichkeit.</w:t>
            </w:r>
          </w:p>
        </w:tc>
        <w:tc>
          <w:tcPr>
            <w:tcW w:w="3402" w:type="dxa"/>
            <w:tcMar>
              <w:top w:w="90" w:type="dxa"/>
              <w:left w:w="100" w:type="dxa"/>
              <w:bottom w:w="90" w:type="dxa"/>
              <w:right w:w="100" w:type="dxa"/>
            </w:tcMar>
          </w:tcPr>
          <w:p w14:paraId="077E3DA5" w14:textId="77777777" w:rsidR="00F8557C" w:rsidRDefault="00000000">
            <w:r>
              <w:t>Forschungspositionen zur Imminenz und Daniel-Anspielung vergleichen.</w:t>
            </w:r>
          </w:p>
        </w:tc>
      </w:tr>
      <w:tr w:rsidR="00F8557C" w14:paraId="296C6E1A" w14:textId="77777777">
        <w:trPr>
          <w:jc w:val="center"/>
        </w:trPr>
        <w:tc>
          <w:tcPr>
            <w:tcW w:w="2835" w:type="dxa"/>
            <w:tcMar>
              <w:top w:w="90" w:type="dxa"/>
              <w:left w:w="100" w:type="dxa"/>
              <w:bottom w:w="90" w:type="dxa"/>
              <w:right w:w="100" w:type="dxa"/>
            </w:tcMar>
          </w:tcPr>
          <w:p w14:paraId="1DF35994" w14:textId="77777777" w:rsidR="00F8557C" w:rsidRDefault="00000000">
            <w:r>
              <w:t>Bedeutet ἐσήμανεν „symbolisieren“?</w:t>
            </w:r>
          </w:p>
        </w:tc>
        <w:tc>
          <w:tcPr>
            <w:tcW w:w="3969" w:type="dxa"/>
            <w:tcMar>
              <w:top w:w="90" w:type="dxa"/>
              <w:left w:w="100" w:type="dxa"/>
              <w:bottom w:w="90" w:type="dxa"/>
              <w:right w:w="100" w:type="dxa"/>
            </w:tcMar>
          </w:tcPr>
          <w:p w14:paraId="1BC056C3" w14:textId="77777777" w:rsidR="00F8557C" w:rsidRDefault="00000000">
            <w:r>
              <w:t>Mindestens: kundtun/anzeigen; Zeichencharakter wahrscheinlich mitgemeint.</w:t>
            </w:r>
          </w:p>
        </w:tc>
        <w:tc>
          <w:tcPr>
            <w:tcW w:w="3402" w:type="dxa"/>
            <w:tcMar>
              <w:top w:w="90" w:type="dxa"/>
              <w:left w:w="100" w:type="dxa"/>
              <w:bottom w:w="90" w:type="dxa"/>
              <w:right w:w="100" w:type="dxa"/>
            </w:tcMar>
          </w:tcPr>
          <w:p w14:paraId="3CCD4212" w14:textId="77777777" w:rsidR="00F8557C" w:rsidRDefault="00000000">
            <w:r>
              <w:t>Lexikalische Reichweite und Daniel 2 prüfen.</w:t>
            </w:r>
          </w:p>
        </w:tc>
      </w:tr>
      <w:tr w:rsidR="00F8557C" w14:paraId="4D0E7756" w14:textId="77777777">
        <w:trPr>
          <w:jc w:val="center"/>
        </w:trPr>
        <w:tc>
          <w:tcPr>
            <w:tcW w:w="2835" w:type="dxa"/>
            <w:tcMar>
              <w:top w:w="90" w:type="dxa"/>
              <w:left w:w="100" w:type="dxa"/>
              <w:bottom w:w="90" w:type="dxa"/>
              <w:right w:w="100" w:type="dxa"/>
            </w:tcMar>
          </w:tcPr>
          <w:p w14:paraId="3FC8B2D0" w14:textId="77777777" w:rsidR="00F8557C" w:rsidRDefault="00000000">
            <w:r>
              <w:t>Welche Funktion hat V. 3?</w:t>
            </w:r>
          </w:p>
        </w:tc>
        <w:tc>
          <w:tcPr>
            <w:tcW w:w="3969" w:type="dxa"/>
            <w:tcMar>
              <w:top w:w="90" w:type="dxa"/>
              <w:left w:w="100" w:type="dxa"/>
              <w:bottom w:w="90" w:type="dxa"/>
              <w:right w:w="100" w:type="dxa"/>
            </w:tcMar>
          </w:tcPr>
          <w:p w14:paraId="1180A776" w14:textId="77777777" w:rsidR="00F8557C" w:rsidRDefault="00000000">
            <w:r>
              <w:t>Öffentliche Lesung, Seligpreisung, Hören und Gehorsam.</w:t>
            </w:r>
          </w:p>
        </w:tc>
        <w:tc>
          <w:tcPr>
            <w:tcW w:w="3402" w:type="dxa"/>
            <w:tcMar>
              <w:top w:w="90" w:type="dxa"/>
              <w:left w:w="100" w:type="dxa"/>
              <w:bottom w:w="90" w:type="dxa"/>
              <w:right w:w="100" w:type="dxa"/>
            </w:tcMar>
          </w:tcPr>
          <w:p w14:paraId="0FA521CD" w14:textId="77777777" w:rsidR="00F8557C" w:rsidRDefault="00000000">
            <w:r>
              <w:t>Oralität/Liturgie in der Forschung prüfen.</w:t>
            </w:r>
          </w:p>
        </w:tc>
      </w:tr>
      <w:tr w:rsidR="00F8557C" w14:paraId="2DD348EF" w14:textId="77777777">
        <w:trPr>
          <w:jc w:val="center"/>
        </w:trPr>
        <w:tc>
          <w:tcPr>
            <w:tcW w:w="2835" w:type="dxa"/>
            <w:tcMar>
              <w:top w:w="90" w:type="dxa"/>
              <w:left w:w="100" w:type="dxa"/>
              <w:bottom w:w="90" w:type="dxa"/>
              <w:right w:w="100" w:type="dxa"/>
            </w:tcMar>
          </w:tcPr>
          <w:p w14:paraId="3F04EB1E" w14:textId="77777777" w:rsidR="00F8557C" w:rsidRDefault="00000000">
            <w:r>
              <w:t>Welche Gattung ist das Buch?</w:t>
            </w:r>
          </w:p>
        </w:tc>
        <w:tc>
          <w:tcPr>
            <w:tcW w:w="3969" w:type="dxa"/>
            <w:tcMar>
              <w:top w:w="90" w:type="dxa"/>
              <w:left w:w="100" w:type="dxa"/>
              <w:bottom w:w="90" w:type="dxa"/>
              <w:right w:w="100" w:type="dxa"/>
            </w:tcMar>
          </w:tcPr>
          <w:p w14:paraId="3ABCC5AD" w14:textId="77777777" w:rsidR="00F8557C" w:rsidRDefault="00000000">
            <w:r>
              <w:t>Apokalypse + Prophetie; ab 1,4 auch Brief.</w:t>
            </w:r>
          </w:p>
        </w:tc>
        <w:tc>
          <w:tcPr>
            <w:tcW w:w="3402" w:type="dxa"/>
            <w:tcMar>
              <w:top w:w="90" w:type="dxa"/>
              <w:left w:w="100" w:type="dxa"/>
              <w:bottom w:w="90" w:type="dxa"/>
              <w:right w:w="100" w:type="dxa"/>
            </w:tcMar>
          </w:tcPr>
          <w:p w14:paraId="76F84746" w14:textId="77777777" w:rsidR="00F8557C" w:rsidRDefault="00000000">
            <w:r>
              <w:t>Genre-Forschung prüfen.</w:t>
            </w:r>
          </w:p>
        </w:tc>
      </w:tr>
      <w:tr w:rsidR="00F8557C" w14:paraId="3F1B76A2" w14:textId="77777777">
        <w:trPr>
          <w:jc w:val="center"/>
        </w:trPr>
        <w:tc>
          <w:tcPr>
            <w:tcW w:w="2835" w:type="dxa"/>
            <w:tcMar>
              <w:top w:w="90" w:type="dxa"/>
              <w:left w:w="100" w:type="dxa"/>
              <w:bottom w:w="90" w:type="dxa"/>
              <w:right w:w="100" w:type="dxa"/>
            </w:tcMar>
          </w:tcPr>
          <w:p w14:paraId="1DA1C015" w14:textId="77777777" w:rsidR="00F8557C" w:rsidRDefault="00000000">
            <w:r>
              <w:t>Welcher historische Druck liegt vor?</w:t>
            </w:r>
          </w:p>
        </w:tc>
        <w:tc>
          <w:tcPr>
            <w:tcW w:w="3969" w:type="dxa"/>
            <w:tcMar>
              <w:top w:w="90" w:type="dxa"/>
              <w:left w:w="100" w:type="dxa"/>
              <w:bottom w:w="90" w:type="dxa"/>
              <w:right w:w="100" w:type="dxa"/>
            </w:tcMar>
          </w:tcPr>
          <w:p w14:paraId="6152B580" w14:textId="77777777" w:rsidR="00F8557C" w:rsidRDefault="00000000">
            <w:r>
              <w:t>Loyalitätskonflikte wahrscheinlich; keine pauschale reichsweite Verfolgung behaupten.</w:t>
            </w:r>
          </w:p>
        </w:tc>
        <w:tc>
          <w:tcPr>
            <w:tcW w:w="3402" w:type="dxa"/>
            <w:tcMar>
              <w:top w:w="90" w:type="dxa"/>
              <w:left w:w="100" w:type="dxa"/>
              <w:bottom w:w="90" w:type="dxa"/>
              <w:right w:w="100" w:type="dxa"/>
            </w:tcMar>
          </w:tcPr>
          <w:p w14:paraId="3D09E177" w14:textId="77777777" w:rsidR="00F8557C" w:rsidRDefault="00000000">
            <w:r>
              <w:t>Neuere Sozialgeschichtsforschung prüfen.</w:t>
            </w:r>
          </w:p>
        </w:tc>
      </w:tr>
    </w:tbl>
    <w:p w14:paraId="1BA30DFA" w14:textId="77777777" w:rsidR="00F8557C" w:rsidRDefault="00000000">
      <w:r>
        <w:br w:type="page"/>
      </w:r>
    </w:p>
    <w:p w14:paraId="595C0397" w14:textId="77777777" w:rsidR="00F8557C" w:rsidRDefault="00000000">
      <w:pPr>
        <w:pStyle w:val="berschrift1"/>
      </w:pPr>
      <w:r>
        <w:lastRenderedPageBreak/>
        <w:t>2. Unabhängige Internet- und Literaturrecherche – Phase B</w:t>
      </w:r>
    </w:p>
    <w:p w14:paraId="3A02948B" w14:textId="77777777" w:rsidR="00F8557C" w:rsidRDefault="00000000">
      <w:r>
        <w:t>Ziel dieses Durchgangs ist ausdrücklich nicht die Bestätigung der Erstexegese, sondern ihre Prüfung. Herangezogen wurden frei erreichbare wissenschaftliche Online-Ressourcen, Verlags- und Datenbankinformationen, zugängliche Buchauszüge/Previews sowie wissenschaftliche Abstracts. Nicht frei einsehbare Kommentare werden nicht so behandelt, als seien sie vollständig konsultiert worden.</w:t>
      </w:r>
    </w:p>
    <w:p w14:paraId="1009666D" w14:textId="77777777" w:rsidR="00F8557C" w:rsidRDefault="00000000">
      <w:pPr>
        <w:pStyle w:val="berschrift2"/>
      </w:pPr>
      <w:r>
        <w:t>2.1 Recherchestrategie und Quellenstatus</w:t>
      </w:r>
    </w:p>
    <w:tbl>
      <w:tblPr>
        <w:tblStyle w:val="Tabellenraster"/>
        <w:tblW w:w="0" w:type="auto"/>
        <w:jc w:val="center"/>
        <w:tblLook w:val="04A0" w:firstRow="1" w:lastRow="0" w:firstColumn="1" w:lastColumn="0" w:noHBand="0" w:noVBand="1"/>
      </w:tblPr>
      <w:tblGrid>
        <w:gridCol w:w="2263"/>
        <w:gridCol w:w="5643"/>
        <w:gridCol w:w="2266"/>
      </w:tblGrid>
      <w:tr w:rsidR="00F8557C" w14:paraId="6CE57D3C" w14:textId="77777777">
        <w:trPr>
          <w:tblHeader/>
          <w:jc w:val="center"/>
        </w:trPr>
        <w:tc>
          <w:tcPr>
            <w:tcW w:w="2268" w:type="dxa"/>
            <w:shd w:val="clear" w:color="auto" w:fill="E6E1D8"/>
            <w:tcMar>
              <w:top w:w="90" w:type="dxa"/>
              <w:left w:w="100" w:type="dxa"/>
              <w:bottom w:w="90" w:type="dxa"/>
              <w:right w:w="100" w:type="dxa"/>
            </w:tcMar>
            <w:vAlign w:val="center"/>
          </w:tcPr>
          <w:p w14:paraId="53AB137A" w14:textId="77777777" w:rsidR="00F8557C" w:rsidRDefault="00000000">
            <w:pPr>
              <w:jc w:val="center"/>
            </w:pPr>
            <w:r>
              <w:rPr>
                <w:b/>
              </w:rPr>
              <w:t>Quelle</w:t>
            </w:r>
          </w:p>
        </w:tc>
        <w:tc>
          <w:tcPr>
            <w:tcW w:w="5669" w:type="dxa"/>
            <w:shd w:val="clear" w:color="auto" w:fill="E6E1D8"/>
            <w:tcMar>
              <w:top w:w="90" w:type="dxa"/>
              <w:left w:w="100" w:type="dxa"/>
              <w:bottom w:w="90" w:type="dxa"/>
              <w:right w:w="100" w:type="dxa"/>
            </w:tcMar>
            <w:vAlign w:val="center"/>
          </w:tcPr>
          <w:p w14:paraId="65170BC8" w14:textId="77777777" w:rsidR="00F8557C" w:rsidRDefault="00000000">
            <w:pPr>
              <w:jc w:val="center"/>
            </w:pPr>
            <w:r>
              <w:rPr>
                <w:b/>
              </w:rPr>
              <w:t>Nutzung</w:t>
            </w:r>
          </w:p>
        </w:tc>
        <w:tc>
          <w:tcPr>
            <w:tcW w:w="2268" w:type="dxa"/>
            <w:shd w:val="clear" w:color="auto" w:fill="E6E1D8"/>
            <w:tcMar>
              <w:top w:w="90" w:type="dxa"/>
              <w:left w:w="100" w:type="dxa"/>
              <w:bottom w:w="90" w:type="dxa"/>
              <w:right w:w="100" w:type="dxa"/>
            </w:tcMar>
            <w:vAlign w:val="center"/>
          </w:tcPr>
          <w:p w14:paraId="402BD70A" w14:textId="77777777" w:rsidR="00F8557C" w:rsidRDefault="00000000">
            <w:pPr>
              <w:jc w:val="center"/>
            </w:pPr>
            <w:r>
              <w:rPr>
                <w:b/>
              </w:rPr>
              <w:t>Status</w:t>
            </w:r>
          </w:p>
        </w:tc>
      </w:tr>
      <w:tr w:rsidR="00F8557C" w14:paraId="72EDEC8B" w14:textId="77777777">
        <w:trPr>
          <w:jc w:val="center"/>
        </w:trPr>
        <w:tc>
          <w:tcPr>
            <w:tcW w:w="2268" w:type="dxa"/>
            <w:tcMar>
              <w:top w:w="90" w:type="dxa"/>
              <w:left w:w="100" w:type="dxa"/>
              <w:bottom w:w="90" w:type="dxa"/>
              <w:right w:w="100" w:type="dxa"/>
            </w:tcMar>
          </w:tcPr>
          <w:p w14:paraId="3B026880" w14:textId="77777777" w:rsidR="00F8557C" w:rsidRDefault="00000000">
            <w:r>
              <w:t>WiBiLex</w:t>
            </w:r>
          </w:p>
        </w:tc>
        <w:tc>
          <w:tcPr>
            <w:tcW w:w="5669" w:type="dxa"/>
            <w:tcMar>
              <w:top w:w="90" w:type="dxa"/>
              <w:left w:w="100" w:type="dxa"/>
              <w:bottom w:w="90" w:type="dxa"/>
              <w:right w:w="100" w:type="dxa"/>
            </w:tcMar>
          </w:tcPr>
          <w:p w14:paraId="666FBA29" w14:textId="77777777" w:rsidR="00F8557C" w:rsidRDefault="00000000">
            <w:r>
              <w:t>Apokalyptik (NT), Christfried Böttrich; Artikel und Existenz verifiziert, automatischer Direktabruf zeitweise blockiert; zusätzlich WiBiLex-Plattform und Verweise geprüft.</w:t>
            </w:r>
          </w:p>
        </w:tc>
        <w:tc>
          <w:tcPr>
            <w:tcW w:w="2268" w:type="dxa"/>
            <w:tcMar>
              <w:top w:w="90" w:type="dxa"/>
              <w:left w:w="100" w:type="dxa"/>
              <w:bottom w:w="90" w:type="dxa"/>
              <w:right w:w="100" w:type="dxa"/>
            </w:tcMar>
          </w:tcPr>
          <w:p w14:paraId="6745918E" w14:textId="77777777" w:rsidR="00F8557C" w:rsidRDefault="00000000">
            <w:r>
              <w:t>teilweise / Metadaten + Sekundärnachweise</w:t>
            </w:r>
          </w:p>
        </w:tc>
      </w:tr>
      <w:tr w:rsidR="00F8557C" w14:paraId="4739E32C" w14:textId="77777777">
        <w:trPr>
          <w:jc w:val="center"/>
        </w:trPr>
        <w:tc>
          <w:tcPr>
            <w:tcW w:w="2268" w:type="dxa"/>
            <w:tcMar>
              <w:top w:w="90" w:type="dxa"/>
              <w:left w:w="100" w:type="dxa"/>
              <w:bottom w:w="90" w:type="dxa"/>
              <w:right w:w="100" w:type="dxa"/>
            </w:tcMar>
          </w:tcPr>
          <w:p w14:paraId="2C988948" w14:textId="77777777" w:rsidR="00F8557C" w:rsidRDefault="00000000">
            <w:r>
              <w:t>WiReLex</w:t>
            </w:r>
          </w:p>
        </w:tc>
        <w:tc>
          <w:tcPr>
            <w:tcW w:w="5669" w:type="dxa"/>
            <w:tcMar>
              <w:top w:w="90" w:type="dxa"/>
              <w:left w:w="100" w:type="dxa"/>
              <w:bottom w:w="90" w:type="dxa"/>
              <w:right w:w="100" w:type="dxa"/>
            </w:tcMar>
          </w:tcPr>
          <w:p w14:paraId="72D76180" w14:textId="77777777" w:rsidR="00F8557C" w:rsidRDefault="00000000">
            <w:r>
              <w:t>Apokalyptik (Christian Kaphengst, 2026); Index und externe Fachzusammenfassung geprüft.</w:t>
            </w:r>
          </w:p>
        </w:tc>
        <w:tc>
          <w:tcPr>
            <w:tcW w:w="2268" w:type="dxa"/>
            <w:tcMar>
              <w:top w:w="90" w:type="dxa"/>
              <w:left w:w="100" w:type="dxa"/>
              <w:bottom w:w="90" w:type="dxa"/>
              <w:right w:w="100" w:type="dxa"/>
            </w:tcMar>
          </w:tcPr>
          <w:p w14:paraId="4BC45D3E" w14:textId="77777777" w:rsidR="00F8557C" w:rsidRDefault="00000000">
            <w:r>
              <w:t>teilweise / Zusammenfassung</w:t>
            </w:r>
          </w:p>
        </w:tc>
      </w:tr>
      <w:tr w:rsidR="00F8557C" w14:paraId="21CD1871" w14:textId="77777777">
        <w:trPr>
          <w:jc w:val="center"/>
        </w:trPr>
        <w:tc>
          <w:tcPr>
            <w:tcW w:w="2268" w:type="dxa"/>
            <w:tcMar>
              <w:top w:w="90" w:type="dxa"/>
              <w:left w:w="100" w:type="dxa"/>
              <w:bottom w:w="90" w:type="dxa"/>
              <w:right w:w="100" w:type="dxa"/>
            </w:tcMar>
          </w:tcPr>
          <w:p w14:paraId="12CCEC0C" w14:textId="77777777" w:rsidR="00F8557C" w:rsidRDefault="00000000">
            <w:r>
              <w:t>Aune, WBC 52A</w:t>
            </w:r>
          </w:p>
        </w:tc>
        <w:tc>
          <w:tcPr>
            <w:tcW w:w="5669" w:type="dxa"/>
            <w:tcMar>
              <w:top w:w="90" w:type="dxa"/>
              <w:left w:w="100" w:type="dxa"/>
              <w:bottom w:w="90" w:type="dxa"/>
              <w:right w:w="100" w:type="dxa"/>
            </w:tcMar>
          </w:tcPr>
          <w:p w14:paraId="5A8852C3" w14:textId="77777777" w:rsidR="00F8557C" w:rsidRDefault="00000000">
            <w:r>
              <w:t>Revelation 1–5 (1997); Inhalts-/Gliederungsauszug zu 1,1–3 und bibliographische Daten.</w:t>
            </w:r>
          </w:p>
        </w:tc>
        <w:tc>
          <w:tcPr>
            <w:tcW w:w="2268" w:type="dxa"/>
            <w:tcMar>
              <w:top w:w="90" w:type="dxa"/>
              <w:left w:w="100" w:type="dxa"/>
              <w:bottom w:w="90" w:type="dxa"/>
              <w:right w:w="100" w:type="dxa"/>
            </w:tcMar>
          </w:tcPr>
          <w:p w14:paraId="3ADBEAD7" w14:textId="77777777" w:rsidR="00F8557C" w:rsidRDefault="00000000">
            <w:r>
              <w:t>Vorschau</w:t>
            </w:r>
          </w:p>
        </w:tc>
      </w:tr>
      <w:tr w:rsidR="00F8557C" w14:paraId="70BA6F68" w14:textId="77777777">
        <w:trPr>
          <w:jc w:val="center"/>
        </w:trPr>
        <w:tc>
          <w:tcPr>
            <w:tcW w:w="2268" w:type="dxa"/>
            <w:tcMar>
              <w:top w:w="90" w:type="dxa"/>
              <w:left w:w="100" w:type="dxa"/>
              <w:bottom w:w="90" w:type="dxa"/>
              <w:right w:w="100" w:type="dxa"/>
            </w:tcMar>
          </w:tcPr>
          <w:p w14:paraId="542F74D3" w14:textId="77777777" w:rsidR="00F8557C" w:rsidRDefault="00000000">
            <w:r>
              <w:t>Osborne, BECNT</w:t>
            </w:r>
          </w:p>
        </w:tc>
        <w:tc>
          <w:tcPr>
            <w:tcW w:w="5669" w:type="dxa"/>
            <w:tcMar>
              <w:top w:w="90" w:type="dxa"/>
              <w:left w:w="100" w:type="dxa"/>
              <w:bottom w:w="90" w:type="dxa"/>
              <w:right w:w="100" w:type="dxa"/>
            </w:tcMar>
          </w:tcPr>
          <w:p w14:paraId="3BA1B152" w14:textId="77777777" w:rsidR="00F8557C" w:rsidRDefault="00000000">
            <w:r>
              <w:t>Revelation (2002); zugänglicher Auszug zu 1,1 (Genitivfrage).</w:t>
            </w:r>
          </w:p>
        </w:tc>
        <w:tc>
          <w:tcPr>
            <w:tcW w:w="2268" w:type="dxa"/>
            <w:tcMar>
              <w:top w:w="90" w:type="dxa"/>
              <w:left w:w="100" w:type="dxa"/>
              <w:bottom w:w="90" w:type="dxa"/>
              <w:right w:w="100" w:type="dxa"/>
            </w:tcMar>
          </w:tcPr>
          <w:p w14:paraId="451C7B7E" w14:textId="77777777" w:rsidR="00F8557C" w:rsidRDefault="00000000">
            <w:r>
              <w:t>Auszug</w:t>
            </w:r>
          </w:p>
        </w:tc>
      </w:tr>
      <w:tr w:rsidR="00F8557C" w14:paraId="084D2F46" w14:textId="77777777">
        <w:trPr>
          <w:jc w:val="center"/>
        </w:trPr>
        <w:tc>
          <w:tcPr>
            <w:tcW w:w="2268" w:type="dxa"/>
            <w:tcMar>
              <w:top w:w="90" w:type="dxa"/>
              <w:left w:w="100" w:type="dxa"/>
              <w:bottom w:w="90" w:type="dxa"/>
              <w:right w:w="100" w:type="dxa"/>
            </w:tcMar>
          </w:tcPr>
          <w:p w14:paraId="3B50D26E" w14:textId="77777777" w:rsidR="00F8557C" w:rsidRDefault="00000000">
            <w:r>
              <w:t>Koester, AYB 38A</w:t>
            </w:r>
          </w:p>
        </w:tc>
        <w:tc>
          <w:tcPr>
            <w:tcW w:w="5669" w:type="dxa"/>
            <w:tcMar>
              <w:top w:w="90" w:type="dxa"/>
              <w:left w:w="100" w:type="dxa"/>
              <w:bottom w:w="90" w:type="dxa"/>
              <w:right w:w="100" w:type="dxa"/>
            </w:tcMar>
          </w:tcPr>
          <w:p w14:paraId="26A5A44C" w14:textId="77777777" w:rsidR="00F8557C" w:rsidRDefault="00000000">
            <w:r>
              <w:t>Revelation (2014); Verlagsbeschreibung und Forschungskontext; keine passage-level Volllektüre.</w:t>
            </w:r>
          </w:p>
        </w:tc>
        <w:tc>
          <w:tcPr>
            <w:tcW w:w="2268" w:type="dxa"/>
            <w:tcMar>
              <w:top w:w="90" w:type="dxa"/>
              <w:left w:w="100" w:type="dxa"/>
              <w:bottom w:w="90" w:type="dxa"/>
              <w:right w:w="100" w:type="dxa"/>
            </w:tcMar>
          </w:tcPr>
          <w:p w14:paraId="3B9CC563" w14:textId="77777777" w:rsidR="00F8557C" w:rsidRDefault="00000000">
            <w:r>
              <w:t>bibliographisch / Beschreibung</w:t>
            </w:r>
          </w:p>
        </w:tc>
      </w:tr>
      <w:tr w:rsidR="00F8557C" w14:paraId="3E343CAF" w14:textId="77777777">
        <w:trPr>
          <w:jc w:val="center"/>
        </w:trPr>
        <w:tc>
          <w:tcPr>
            <w:tcW w:w="2268" w:type="dxa"/>
            <w:tcMar>
              <w:top w:w="90" w:type="dxa"/>
              <w:left w:w="100" w:type="dxa"/>
              <w:bottom w:w="90" w:type="dxa"/>
              <w:right w:w="100" w:type="dxa"/>
            </w:tcMar>
          </w:tcPr>
          <w:p w14:paraId="141B4EC6" w14:textId="77777777" w:rsidR="00F8557C" w:rsidRDefault="00000000">
            <w:r>
              <w:t>Bauckham</w:t>
            </w:r>
          </w:p>
        </w:tc>
        <w:tc>
          <w:tcPr>
            <w:tcW w:w="5669" w:type="dxa"/>
            <w:tcMar>
              <w:top w:w="90" w:type="dxa"/>
              <w:left w:w="100" w:type="dxa"/>
              <w:bottom w:w="90" w:type="dxa"/>
              <w:right w:w="100" w:type="dxa"/>
            </w:tcMar>
          </w:tcPr>
          <w:p w14:paraId="76A9BA33" w14:textId="77777777" w:rsidR="00F8557C" w:rsidRDefault="00000000">
            <w:r>
              <w:t>The Theology of the Book of Revelation (1993); Google Books/Cambridge Zusammenfassung und Kapitelbeschreibung.</w:t>
            </w:r>
          </w:p>
        </w:tc>
        <w:tc>
          <w:tcPr>
            <w:tcW w:w="2268" w:type="dxa"/>
            <w:tcMar>
              <w:top w:w="90" w:type="dxa"/>
              <w:left w:w="100" w:type="dxa"/>
              <w:bottom w:w="90" w:type="dxa"/>
              <w:right w:w="100" w:type="dxa"/>
            </w:tcMar>
          </w:tcPr>
          <w:p w14:paraId="6859202D" w14:textId="77777777" w:rsidR="00F8557C" w:rsidRDefault="00000000">
            <w:r>
              <w:t>Vorschau / Abstract</w:t>
            </w:r>
          </w:p>
        </w:tc>
      </w:tr>
      <w:tr w:rsidR="00F8557C" w14:paraId="1746D7F9" w14:textId="77777777">
        <w:trPr>
          <w:jc w:val="center"/>
        </w:trPr>
        <w:tc>
          <w:tcPr>
            <w:tcW w:w="2268" w:type="dxa"/>
            <w:tcMar>
              <w:top w:w="90" w:type="dxa"/>
              <w:left w:w="100" w:type="dxa"/>
              <w:bottom w:w="90" w:type="dxa"/>
              <w:right w:w="100" w:type="dxa"/>
            </w:tcMar>
          </w:tcPr>
          <w:p w14:paraId="7508D359" w14:textId="77777777" w:rsidR="00F8557C" w:rsidRDefault="00000000">
            <w:r>
              <w:t>Oxford Handbook</w:t>
            </w:r>
          </w:p>
        </w:tc>
        <w:tc>
          <w:tcPr>
            <w:tcW w:w="5669" w:type="dxa"/>
            <w:tcMar>
              <w:top w:w="90" w:type="dxa"/>
              <w:left w:w="100" w:type="dxa"/>
              <w:bottom w:w="90" w:type="dxa"/>
              <w:right w:w="100" w:type="dxa"/>
            </w:tcMar>
          </w:tcPr>
          <w:p w14:paraId="6EA0EC00" w14:textId="77777777" w:rsidR="00F8557C" w:rsidRDefault="00000000">
            <w:r>
              <w:t>Moyise, Carter u.a. (2020): AT-Verwendung, römischer Kontext, Religionen in Asia Minor.</w:t>
            </w:r>
          </w:p>
        </w:tc>
        <w:tc>
          <w:tcPr>
            <w:tcW w:w="2268" w:type="dxa"/>
            <w:tcMar>
              <w:top w:w="90" w:type="dxa"/>
              <w:left w:w="100" w:type="dxa"/>
              <w:bottom w:w="90" w:type="dxa"/>
              <w:right w:w="100" w:type="dxa"/>
            </w:tcMar>
          </w:tcPr>
          <w:p w14:paraId="2E8AA0C8" w14:textId="77777777" w:rsidR="00F8557C" w:rsidRDefault="00000000">
            <w:r>
              <w:t>Abstracts</w:t>
            </w:r>
          </w:p>
        </w:tc>
      </w:tr>
      <w:tr w:rsidR="00F8557C" w14:paraId="79C790C1" w14:textId="77777777">
        <w:trPr>
          <w:jc w:val="center"/>
        </w:trPr>
        <w:tc>
          <w:tcPr>
            <w:tcW w:w="2268" w:type="dxa"/>
            <w:tcMar>
              <w:top w:w="90" w:type="dxa"/>
              <w:left w:w="100" w:type="dxa"/>
              <w:bottom w:w="90" w:type="dxa"/>
              <w:right w:w="100" w:type="dxa"/>
            </w:tcMar>
          </w:tcPr>
          <w:p w14:paraId="13D83198" w14:textId="77777777" w:rsidR="00F8557C" w:rsidRDefault="00000000">
            <w:r>
              <w:t>Fachaufsätze</w:t>
            </w:r>
          </w:p>
        </w:tc>
        <w:tc>
          <w:tcPr>
            <w:tcW w:w="5669" w:type="dxa"/>
            <w:tcMar>
              <w:top w:w="90" w:type="dxa"/>
              <w:left w:w="100" w:type="dxa"/>
              <w:bottom w:w="90" w:type="dxa"/>
              <w:right w:w="100" w:type="dxa"/>
            </w:tcMar>
          </w:tcPr>
          <w:p w14:paraId="67F3484B" w14:textId="77777777" w:rsidR="00F8557C" w:rsidRDefault="00000000">
            <w:r>
              <w:t>Friesen 2005; Slater 2009; García Ureña 2014; neuere religionspädagogische Beiträge.</w:t>
            </w:r>
          </w:p>
        </w:tc>
        <w:tc>
          <w:tcPr>
            <w:tcW w:w="2268" w:type="dxa"/>
            <w:tcMar>
              <w:top w:w="90" w:type="dxa"/>
              <w:left w:w="100" w:type="dxa"/>
              <w:bottom w:w="90" w:type="dxa"/>
              <w:right w:w="100" w:type="dxa"/>
            </w:tcMar>
          </w:tcPr>
          <w:p w14:paraId="7B29484C" w14:textId="77777777" w:rsidR="00F8557C" w:rsidRDefault="00000000">
            <w:r>
              <w:t>Abstracts / HTML</w:t>
            </w:r>
          </w:p>
        </w:tc>
      </w:tr>
      <w:tr w:rsidR="00F8557C" w14:paraId="5E8B43D4" w14:textId="77777777">
        <w:trPr>
          <w:jc w:val="center"/>
        </w:trPr>
        <w:tc>
          <w:tcPr>
            <w:tcW w:w="2268" w:type="dxa"/>
            <w:tcMar>
              <w:top w:w="90" w:type="dxa"/>
              <w:left w:w="100" w:type="dxa"/>
              <w:bottom w:w="90" w:type="dxa"/>
              <w:right w:w="100" w:type="dxa"/>
            </w:tcMar>
          </w:tcPr>
          <w:p w14:paraId="780933C5" w14:textId="77777777" w:rsidR="00F8557C" w:rsidRDefault="00000000">
            <w:r>
              <w:t>Übersetzungs-/Sprachnoten</w:t>
            </w:r>
          </w:p>
        </w:tc>
        <w:tc>
          <w:tcPr>
            <w:tcW w:w="5669" w:type="dxa"/>
            <w:tcMar>
              <w:top w:w="90" w:type="dxa"/>
              <w:left w:w="100" w:type="dxa"/>
              <w:bottom w:w="90" w:type="dxa"/>
              <w:right w:w="100" w:type="dxa"/>
            </w:tcMar>
          </w:tcPr>
          <w:p w14:paraId="14140FEB" w14:textId="77777777" w:rsidR="00F8557C" w:rsidRDefault="00000000">
            <w:r>
              <w:t>NET, Mounce Reverse Interlinear, DBG-Übersetzungsvergleich.</w:t>
            </w:r>
          </w:p>
        </w:tc>
        <w:tc>
          <w:tcPr>
            <w:tcW w:w="2268" w:type="dxa"/>
            <w:tcMar>
              <w:top w:w="90" w:type="dxa"/>
              <w:left w:w="100" w:type="dxa"/>
              <w:bottom w:w="90" w:type="dxa"/>
              <w:right w:w="100" w:type="dxa"/>
            </w:tcMar>
          </w:tcPr>
          <w:p w14:paraId="60B36DE1" w14:textId="77777777" w:rsidR="00F8557C" w:rsidRDefault="00000000">
            <w:r>
              <w:t>voll/online soweit sichtbar</w:t>
            </w:r>
          </w:p>
        </w:tc>
      </w:tr>
    </w:tbl>
    <w:p w14:paraId="1FB5F5DB" w14:textId="77777777" w:rsidR="00F8557C" w:rsidRDefault="00000000">
      <w:pPr>
        <w:pStyle w:val="berschrift2"/>
      </w:pPr>
      <w:r>
        <w:t>2.2 WiBiLex- und WiReLex-Befund</w:t>
      </w:r>
    </w:p>
    <w:p w14:paraId="22A5A43C" w14:textId="77777777" w:rsidR="00F8557C" w:rsidRDefault="00000000">
      <w:r>
        <w:t>WiBiLex beschreibt sich selbst als wissenschaftliches, frei zugängliches Bibellexikon mit Fachautorinnen und Fachautoren. Für diesen Text ist vor allem der Artikel „Apokalyptik (NT)“ einschlägig. Der Artikel konnte im automatisierten Abruf nicht vollständig ausgelesen werden; seine Existenz, Autorenschaft (Christfried Böttrich) und fachliche Einordnung sind verifiziert. Daraus werden hier keine nicht eingesehenen Detailthesen erfunden.</w:t>
      </w:r>
    </w:p>
    <w:p w14:paraId="479A44D3" w14:textId="77777777" w:rsidR="00F8557C" w:rsidRDefault="00000000">
      <w:r>
        <w:t xml:space="preserve">Das WiReLex führt seit 2026 einen Artikel „Apokalyptik“ von Christian Kaphengst. Die zugängliche Fachzusammenfassung betont ausdrücklich, dass die alltagssprachliche Gleichsetzung von „Apokalypse“ und Katastrophe zu kurz greift und dass apokalyptische Traditionen multiperspektivisch, theologisch und </w:t>
      </w:r>
      <w:r>
        <w:lastRenderedPageBreak/>
        <w:t>lebensweltlich erschlossen werden müssen. Für die Erwachsenenbildung ist das hilfreich: Die Bibelarbeit sollte Angstbilder nicht verstärken, sondern die Offenbarungs- und Hoffnungsdimension erschließen.</w:t>
      </w:r>
    </w:p>
    <w:p w14:paraId="044F20E2" w14:textId="77777777" w:rsidR="00F8557C" w:rsidRDefault="00000000">
      <w:r>
        <w:t>Forschungsfolge für die Bibelarbeit: Erst den Text als Offenbarung Jesu Christi hören; dann apokalyptische Bildsprache erklären; erst danach nach heutiger Bedeutung fragen. Das entspricht der im Masterprompt geforderten Trennung von Textbefund und Anwendung.</w:t>
      </w:r>
    </w:p>
    <w:p w14:paraId="6AAD237D" w14:textId="77777777" w:rsidR="00F8557C" w:rsidRDefault="00000000">
      <w:pPr>
        <w:pStyle w:val="berschrift2"/>
      </w:pPr>
      <w:r>
        <w:t>2.3 Kommentare und Monographien im Vergleich</w:t>
      </w:r>
    </w:p>
    <w:tbl>
      <w:tblPr>
        <w:tblStyle w:val="Tabellenraster"/>
        <w:tblW w:w="0" w:type="auto"/>
        <w:jc w:val="center"/>
        <w:tblLook w:val="04A0" w:firstRow="1" w:lastRow="0" w:firstColumn="1" w:lastColumn="0" w:noHBand="0" w:noVBand="1"/>
      </w:tblPr>
      <w:tblGrid>
        <w:gridCol w:w="2109"/>
        <w:gridCol w:w="3311"/>
        <w:gridCol w:w="2677"/>
        <w:gridCol w:w="2075"/>
      </w:tblGrid>
      <w:tr w:rsidR="00F8557C" w14:paraId="6B9A689B" w14:textId="77777777">
        <w:trPr>
          <w:tblHeader/>
          <w:jc w:val="center"/>
        </w:trPr>
        <w:tc>
          <w:tcPr>
            <w:tcW w:w="2494" w:type="dxa"/>
            <w:shd w:val="clear" w:color="auto" w:fill="E6E1D8"/>
            <w:tcMar>
              <w:top w:w="90" w:type="dxa"/>
              <w:left w:w="100" w:type="dxa"/>
              <w:bottom w:w="90" w:type="dxa"/>
              <w:right w:w="100" w:type="dxa"/>
            </w:tcMar>
            <w:vAlign w:val="center"/>
          </w:tcPr>
          <w:p w14:paraId="0F3764C1" w14:textId="77777777" w:rsidR="00F8557C" w:rsidRDefault="00000000">
            <w:pPr>
              <w:jc w:val="center"/>
            </w:pPr>
            <w:r>
              <w:rPr>
                <w:b/>
              </w:rPr>
              <w:t>Werk</w:t>
            </w:r>
          </w:p>
        </w:tc>
        <w:tc>
          <w:tcPr>
            <w:tcW w:w="3572" w:type="dxa"/>
            <w:shd w:val="clear" w:color="auto" w:fill="E6E1D8"/>
            <w:tcMar>
              <w:top w:w="90" w:type="dxa"/>
              <w:left w:w="100" w:type="dxa"/>
              <w:bottom w:w="90" w:type="dxa"/>
              <w:right w:w="100" w:type="dxa"/>
            </w:tcMar>
            <w:vAlign w:val="center"/>
          </w:tcPr>
          <w:p w14:paraId="5B20FAA2" w14:textId="77777777" w:rsidR="00F8557C" w:rsidRDefault="00000000">
            <w:pPr>
              <w:jc w:val="center"/>
            </w:pPr>
            <w:r>
              <w:rPr>
                <w:b/>
              </w:rPr>
              <w:t>Hauptbefund</w:t>
            </w:r>
          </w:p>
        </w:tc>
        <w:tc>
          <w:tcPr>
            <w:tcW w:w="2948" w:type="dxa"/>
            <w:shd w:val="clear" w:color="auto" w:fill="E6E1D8"/>
            <w:tcMar>
              <w:top w:w="90" w:type="dxa"/>
              <w:left w:w="100" w:type="dxa"/>
              <w:bottom w:w="90" w:type="dxa"/>
              <w:right w:w="100" w:type="dxa"/>
            </w:tcMar>
            <w:vAlign w:val="center"/>
          </w:tcPr>
          <w:p w14:paraId="1B3BED60" w14:textId="77777777" w:rsidR="00F8557C" w:rsidRDefault="00000000">
            <w:pPr>
              <w:jc w:val="center"/>
            </w:pPr>
            <w:r>
              <w:rPr>
                <w:b/>
              </w:rPr>
              <w:t>Verhältnis zur Erstexegese</w:t>
            </w:r>
          </w:p>
        </w:tc>
        <w:tc>
          <w:tcPr>
            <w:tcW w:w="1247" w:type="dxa"/>
            <w:shd w:val="clear" w:color="auto" w:fill="E6E1D8"/>
            <w:tcMar>
              <w:top w:w="90" w:type="dxa"/>
              <w:left w:w="100" w:type="dxa"/>
              <w:bottom w:w="90" w:type="dxa"/>
              <w:right w:w="100" w:type="dxa"/>
            </w:tcMar>
            <w:vAlign w:val="center"/>
          </w:tcPr>
          <w:p w14:paraId="650E2B27" w14:textId="77777777" w:rsidR="00F8557C" w:rsidRDefault="00000000">
            <w:pPr>
              <w:jc w:val="center"/>
            </w:pPr>
            <w:r>
              <w:rPr>
                <w:b/>
              </w:rPr>
              <w:t>Status</w:t>
            </w:r>
          </w:p>
        </w:tc>
      </w:tr>
      <w:tr w:rsidR="00F8557C" w14:paraId="79330FA9" w14:textId="77777777">
        <w:trPr>
          <w:jc w:val="center"/>
        </w:trPr>
        <w:tc>
          <w:tcPr>
            <w:tcW w:w="2494" w:type="dxa"/>
            <w:tcMar>
              <w:top w:w="90" w:type="dxa"/>
              <w:left w:w="100" w:type="dxa"/>
              <w:bottom w:w="90" w:type="dxa"/>
              <w:right w:w="100" w:type="dxa"/>
            </w:tcMar>
          </w:tcPr>
          <w:p w14:paraId="1DAC02AA" w14:textId="77777777" w:rsidR="00F8557C" w:rsidRDefault="00000000">
            <w:r>
              <w:t>Aune, WBC 52A (1997)</w:t>
            </w:r>
          </w:p>
        </w:tc>
        <w:tc>
          <w:tcPr>
            <w:tcW w:w="3572" w:type="dxa"/>
            <w:tcMar>
              <w:top w:w="90" w:type="dxa"/>
              <w:left w:w="100" w:type="dxa"/>
              <w:bottom w:w="90" w:type="dxa"/>
              <w:right w:w="100" w:type="dxa"/>
            </w:tcMar>
          </w:tcPr>
          <w:p w14:paraId="6AEEED13" w14:textId="77777777" w:rsidR="00F8557C" w:rsidRDefault="00000000">
            <w:r>
              <w:t>Gliedert 1,1–2 als Titel/Übermittlung der Offenbarung und V. 3 als eigene Seligpreisung.</w:t>
            </w:r>
          </w:p>
        </w:tc>
        <w:tc>
          <w:tcPr>
            <w:tcW w:w="2948" w:type="dxa"/>
            <w:tcMar>
              <w:top w:w="90" w:type="dxa"/>
              <w:left w:w="100" w:type="dxa"/>
              <w:bottom w:w="90" w:type="dxa"/>
              <w:right w:w="100" w:type="dxa"/>
            </w:tcMar>
          </w:tcPr>
          <w:p w14:paraId="6B09F061" w14:textId="77777777" w:rsidR="00F8557C" w:rsidRDefault="00000000">
            <w:r>
              <w:t>Stützt die strukturelle Abgrenzung und die Übermittlungskette.</w:t>
            </w:r>
          </w:p>
        </w:tc>
        <w:tc>
          <w:tcPr>
            <w:tcW w:w="1247" w:type="dxa"/>
            <w:tcMar>
              <w:top w:w="90" w:type="dxa"/>
              <w:left w:w="100" w:type="dxa"/>
              <w:bottom w:w="90" w:type="dxa"/>
              <w:right w:w="100" w:type="dxa"/>
            </w:tcMar>
          </w:tcPr>
          <w:p w14:paraId="7757AA74" w14:textId="77777777" w:rsidR="00F8557C" w:rsidRDefault="00000000">
            <w:r>
              <w:t>Vorschau; Detailargumentation nicht vollständig einsehbar.</w:t>
            </w:r>
          </w:p>
        </w:tc>
      </w:tr>
      <w:tr w:rsidR="00F8557C" w14:paraId="27E23FDF" w14:textId="77777777">
        <w:trPr>
          <w:jc w:val="center"/>
        </w:trPr>
        <w:tc>
          <w:tcPr>
            <w:tcW w:w="2494" w:type="dxa"/>
            <w:tcMar>
              <w:top w:w="90" w:type="dxa"/>
              <w:left w:w="100" w:type="dxa"/>
              <w:bottom w:w="90" w:type="dxa"/>
              <w:right w:w="100" w:type="dxa"/>
            </w:tcMar>
          </w:tcPr>
          <w:p w14:paraId="36ECB969" w14:textId="77777777" w:rsidR="00F8557C" w:rsidRDefault="00000000">
            <w:r>
              <w:t>Osborne, BECNT (2002)</w:t>
            </w:r>
          </w:p>
        </w:tc>
        <w:tc>
          <w:tcPr>
            <w:tcW w:w="3572" w:type="dxa"/>
            <w:tcMar>
              <w:top w:w="90" w:type="dxa"/>
              <w:left w:w="100" w:type="dxa"/>
              <w:bottom w:w="90" w:type="dxa"/>
              <w:right w:w="100" w:type="dxa"/>
            </w:tcMar>
          </w:tcPr>
          <w:p w14:paraId="3291C417" w14:textId="77777777" w:rsidR="00F8557C" w:rsidRDefault="00000000">
            <w:r>
              <w:t>Bevorzugt bei „Offenbarung Jesu Christi“ im unmittelbaren Kontext den subjektiven/source Genitiv: Offenbarung von Christus; objektiver Sinn ist als Gesamtinhalt denkbar.</w:t>
            </w:r>
          </w:p>
        </w:tc>
        <w:tc>
          <w:tcPr>
            <w:tcW w:w="2948" w:type="dxa"/>
            <w:tcMar>
              <w:top w:w="90" w:type="dxa"/>
              <w:left w:w="100" w:type="dxa"/>
              <w:bottom w:w="90" w:type="dxa"/>
              <w:right w:w="100" w:type="dxa"/>
            </w:tcMar>
          </w:tcPr>
          <w:p w14:paraId="1D1C831F" w14:textId="77777777" w:rsidR="00F8557C" w:rsidRDefault="00000000">
            <w:r>
              <w:t>Bestätigt die Priorisierung „von Christus“, ohne Christozentrik des Inhalts zu leugnen.</w:t>
            </w:r>
          </w:p>
        </w:tc>
        <w:tc>
          <w:tcPr>
            <w:tcW w:w="1247" w:type="dxa"/>
            <w:tcMar>
              <w:top w:w="90" w:type="dxa"/>
              <w:left w:w="100" w:type="dxa"/>
              <w:bottom w:w="90" w:type="dxa"/>
              <w:right w:w="100" w:type="dxa"/>
            </w:tcMar>
          </w:tcPr>
          <w:p w14:paraId="69DEEACA" w14:textId="77777777" w:rsidR="00F8557C" w:rsidRDefault="00000000">
            <w:r>
              <w:t>zugänglicher Auszug</w:t>
            </w:r>
          </w:p>
        </w:tc>
      </w:tr>
      <w:tr w:rsidR="00F8557C" w14:paraId="13397783" w14:textId="77777777">
        <w:trPr>
          <w:jc w:val="center"/>
        </w:trPr>
        <w:tc>
          <w:tcPr>
            <w:tcW w:w="2494" w:type="dxa"/>
            <w:tcMar>
              <w:top w:w="90" w:type="dxa"/>
              <w:left w:w="100" w:type="dxa"/>
              <w:bottom w:w="90" w:type="dxa"/>
              <w:right w:w="100" w:type="dxa"/>
            </w:tcMar>
          </w:tcPr>
          <w:p w14:paraId="2DB9047C" w14:textId="77777777" w:rsidR="00F8557C" w:rsidRDefault="00000000">
            <w:r>
              <w:t>Koester, AYB (2014)</w:t>
            </w:r>
          </w:p>
        </w:tc>
        <w:tc>
          <w:tcPr>
            <w:tcW w:w="3572" w:type="dxa"/>
            <w:tcMar>
              <w:top w:w="90" w:type="dxa"/>
              <w:left w:w="100" w:type="dxa"/>
              <w:bottom w:w="90" w:type="dxa"/>
              <w:right w:w="100" w:type="dxa"/>
            </w:tcMar>
          </w:tcPr>
          <w:p w14:paraId="2DEDE4E9" w14:textId="77777777" w:rsidR="00F8557C" w:rsidRDefault="00000000">
            <w:r>
              <w:t>Betont die Verankerung in realen Gemeinden Asiens, römischem Kontext und die Spannung von Gericht und Hoffnung.</w:t>
            </w:r>
          </w:p>
        </w:tc>
        <w:tc>
          <w:tcPr>
            <w:tcW w:w="2948" w:type="dxa"/>
            <w:tcMar>
              <w:top w:w="90" w:type="dxa"/>
              <w:left w:w="100" w:type="dxa"/>
              <w:bottom w:w="90" w:type="dxa"/>
              <w:right w:w="100" w:type="dxa"/>
            </w:tcMar>
          </w:tcPr>
          <w:p w14:paraId="1A738CA6" w14:textId="77777777" w:rsidR="00F8557C" w:rsidRDefault="00000000">
            <w:r>
              <w:t>Stützt Kontextualisierung statt Endzeitfahrplan.</w:t>
            </w:r>
          </w:p>
        </w:tc>
        <w:tc>
          <w:tcPr>
            <w:tcW w:w="1247" w:type="dxa"/>
            <w:tcMar>
              <w:top w:w="90" w:type="dxa"/>
              <w:left w:w="100" w:type="dxa"/>
              <w:bottom w:w="90" w:type="dxa"/>
              <w:right w:w="100" w:type="dxa"/>
            </w:tcMar>
          </w:tcPr>
          <w:p w14:paraId="5DE77327" w14:textId="77777777" w:rsidR="00F8557C" w:rsidRDefault="00000000">
            <w:r>
              <w:t>Verlags-/Bibliographieebene</w:t>
            </w:r>
          </w:p>
        </w:tc>
      </w:tr>
      <w:tr w:rsidR="00F8557C" w14:paraId="77CD39B9" w14:textId="77777777">
        <w:trPr>
          <w:jc w:val="center"/>
        </w:trPr>
        <w:tc>
          <w:tcPr>
            <w:tcW w:w="2494" w:type="dxa"/>
            <w:tcMar>
              <w:top w:w="90" w:type="dxa"/>
              <w:left w:w="100" w:type="dxa"/>
              <w:bottom w:w="90" w:type="dxa"/>
              <w:right w:w="100" w:type="dxa"/>
            </w:tcMar>
          </w:tcPr>
          <w:p w14:paraId="1EAA95FD" w14:textId="77777777" w:rsidR="00F8557C" w:rsidRDefault="00000000">
            <w:r>
              <w:t>Bauckham (1993)</w:t>
            </w:r>
          </w:p>
        </w:tc>
        <w:tc>
          <w:tcPr>
            <w:tcW w:w="3572" w:type="dxa"/>
            <w:tcMar>
              <w:top w:w="90" w:type="dxa"/>
              <w:left w:w="100" w:type="dxa"/>
              <w:bottom w:w="90" w:type="dxa"/>
              <w:right w:w="100" w:type="dxa"/>
            </w:tcMar>
          </w:tcPr>
          <w:p w14:paraId="1148C3A2" w14:textId="77777777" w:rsidR="00F8557C" w:rsidRDefault="00000000">
            <w:r>
              <w:t>Liest Offenbarung als Apokalypse, Prophetie und Brief; Bilder in spätantiker/kaiserzeitlicher Welt und theozentrischer Hoffnung.</w:t>
            </w:r>
          </w:p>
        </w:tc>
        <w:tc>
          <w:tcPr>
            <w:tcW w:w="2948" w:type="dxa"/>
            <w:tcMar>
              <w:top w:w="90" w:type="dxa"/>
              <w:left w:w="100" w:type="dxa"/>
              <w:bottom w:w="90" w:type="dxa"/>
              <w:right w:w="100" w:type="dxa"/>
            </w:tcMar>
          </w:tcPr>
          <w:p w14:paraId="2F85E496" w14:textId="77777777" w:rsidR="00F8557C" w:rsidRDefault="00000000">
            <w:r>
              <w:t>Bestätigt die Mehrfachgattung und Kritik an esoterischer Zukunftscodierung.</w:t>
            </w:r>
          </w:p>
        </w:tc>
        <w:tc>
          <w:tcPr>
            <w:tcW w:w="1247" w:type="dxa"/>
            <w:tcMar>
              <w:top w:w="90" w:type="dxa"/>
              <w:left w:w="100" w:type="dxa"/>
              <w:bottom w:w="90" w:type="dxa"/>
              <w:right w:w="100" w:type="dxa"/>
            </w:tcMar>
          </w:tcPr>
          <w:p w14:paraId="3E9F13F3" w14:textId="77777777" w:rsidR="00F8557C" w:rsidRDefault="00000000">
            <w:r>
              <w:t>Vorschau/Abstract</w:t>
            </w:r>
          </w:p>
        </w:tc>
      </w:tr>
      <w:tr w:rsidR="00F8557C" w14:paraId="078C2ED1" w14:textId="77777777">
        <w:trPr>
          <w:jc w:val="center"/>
        </w:trPr>
        <w:tc>
          <w:tcPr>
            <w:tcW w:w="2494" w:type="dxa"/>
            <w:tcMar>
              <w:top w:w="90" w:type="dxa"/>
              <w:left w:w="100" w:type="dxa"/>
              <w:bottom w:w="90" w:type="dxa"/>
              <w:right w:w="100" w:type="dxa"/>
            </w:tcMar>
          </w:tcPr>
          <w:p w14:paraId="172C765B" w14:textId="77777777" w:rsidR="00F8557C" w:rsidRDefault="00000000">
            <w:r>
              <w:t>Oxford Handbook (Koester Hg., 2020)</w:t>
            </w:r>
          </w:p>
        </w:tc>
        <w:tc>
          <w:tcPr>
            <w:tcW w:w="3572" w:type="dxa"/>
            <w:tcMar>
              <w:top w:w="90" w:type="dxa"/>
              <w:left w:w="100" w:type="dxa"/>
              <w:bottom w:w="90" w:type="dxa"/>
              <w:right w:w="100" w:type="dxa"/>
            </w:tcMar>
          </w:tcPr>
          <w:p w14:paraId="1FC5362F" w14:textId="77777777" w:rsidR="00F8557C" w:rsidRDefault="00000000">
            <w:r>
              <w:t>Neuere Forschung differenziert literarische, historische und theologische Ebenen; AT-Anspielungen sind dicht, ohne viele formale Zitate.</w:t>
            </w:r>
          </w:p>
        </w:tc>
        <w:tc>
          <w:tcPr>
            <w:tcW w:w="2948" w:type="dxa"/>
            <w:tcMar>
              <w:top w:w="90" w:type="dxa"/>
              <w:left w:w="100" w:type="dxa"/>
              <w:bottom w:w="90" w:type="dxa"/>
              <w:right w:w="100" w:type="dxa"/>
            </w:tcMar>
          </w:tcPr>
          <w:p w14:paraId="6BBC7A98" w14:textId="77777777" w:rsidR="00F8557C" w:rsidRDefault="00000000">
            <w:r>
              <w:t>Stärkt die methodische Trennung von Bildwelt, AT-Hintergrund und Gegenwartsbezug.</w:t>
            </w:r>
          </w:p>
        </w:tc>
        <w:tc>
          <w:tcPr>
            <w:tcW w:w="1247" w:type="dxa"/>
            <w:tcMar>
              <w:top w:w="90" w:type="dxa"/>
              <w:left w:w="100" w:type="dxa"/>
              <w:bottom w:w="90" w:type="dxa"/>
              <w:right w:w="100" w:type="dxa"/>
            </w:tcMar>
          </w:tcPr>
          <w:p w14:paraId="38B80B09" w14:textId="77777777" w:rsidR="00F8557C" w:rsidRDefault="00000000">
            <w:r>
              <w:t>Abstracts</w:t>
            </w:r>
          </w:p>
        </w:tc>
      </w:tr>
    </w:tbl>
    <w:p w14:paraId="27ECB389" w14:textId="77777777" w:rsidR="00F8557C" w:rsidRDefault="00000000">
      <w:pPr>
        <w:pStyle w:val="berschrift2"/>
      </w:pPr>
      <w:r>
        <w:t>2.4 Zentrale Forschungsfragen</w:t>
      </w:r>
    </w:p>
    <w:p w14:paraId="3EB05DAB" w14:textId="77777777" w:rsidR="00F8557C" w:rsidRDefault="00000000">
      <w:pPr>
        <w:pStyle w:val="berschrift3"/>
      </w:pPr>
      <w:r>
        <w:t>a) „Offenbarung Jesu Christi“ – von Christus oder über Christus?</w:t>
      </w:r>
    </w:p>
    <w:p w14:paraId="0F064D3B" w14:textId="77777777" w:rsidR="00F8557C" w:rsidRDefault="00000000">
      <w:r>
        <w:t>Die Forschung erkennt die grammatische Mehrdeutigkeit. NET-Noten unterscheiden subjektiven, objektiven oder plenaren Genitiv; Osborne und Aune gewichten aufgrund des unmittelbaren Satzverlaufs den Quell-/Mittlersinn stark. Der Text selbst sagt unmittelbar: Gott gibt die Offenbarung Jesus, damit er sie seinen Dienern zeigt. Daher ist „von Jesus Christus“ die syntaktisch stärkste Primärlesart. Da das Buch zugleich Christus in seiner Herrschaft enthüllt, ist der objektive Sinn sekundär mitgetragen.</w:t>
      </w:r>
    </w:p>
    <w:p w14:paraId="7FCD7751" w14:textId="77777777" w:rsidR="00F8557C" w:rsidRDefault="00000000">
      <w:r>
        <w:lastRenderedPageBreak/>
        <w:t>Bewertung: Die Erstexegese wird stark bestätigt; sie sollte präzise sagen: syntaktisch primär „von Christus“, theologisch zugleich „über Christus“.</w:t>
      </w:r>
    </w:p>
    <w:p w14:paraId="0867690C" w14:textId="77777777" w:rsidR="00F8557C" w:rsidRDefault="00000000">
      <w:pPr>
        <w:pStyle w:val="berschrift3"/>
      </w:pPr>
      <w:r>
        <w:t>b) ἐν τάχει / ἐγγύς – echte Naherwartung?</w:t>
      </w:r>
    </w:p>
    <w:p w14:paraId="0235A656" w14:textId="77777777" w:rsidR="00F8557C" w:rsidRDefault="00000000">
      <w:r>
        <w:t>Die Wendung ἃ δεῖ γενέσθαι ἐν τάχει steht programmatisch am Anfang und kehrt in 22,6 wieder; V. 3 ergänzt „die Zeit ist nahe“. Mehrere Kommentare sehen darin echte Imminenz. Die Daniel-2-Anspielung verstärkt die Pointe: Daniels „am Ende der Tage“ wird bei Johannes in die Nähe gerückt.</w:t>
      </w:r>
    </w:p>
    <w:p w14:paraId="5F3AF4D3" w14:textId="77777777" w:rsidR="00F8557C" w:rsidRDefault="00000000">
      <w:r>
        <w:t>In der Auslegungsgeschichte wird versucht, die Spannung durch „rasch, sobald es beginnt“, durch göttliche Zeitperspektive oder durch bereits begonnene Erfüllung zu lösen. Keine dieser Harmonisierungslösungen darf die ursprüngliche rhetorische Dringlichkeit eliminieren. Für die Bibelarbeit ist deshalb besser: Johannes will eine Gemeinde in wache Treue rufen; er liefert keinen Kalender.</w:t>
      </w:r>
    </w:p>
    <w:p w14:paraId="73CF3CB6" w14:textId="77777777" w:rsidR="00F8557C" w:rsidRDefault="00000000">
      <w:r>
        <w:t>Bewertung: Erstexegese überwiegend bestätigt und zu schärfen: Naherwartung ernst nehmen, aber nicht in Datenspekulation umsetzen.</w:t>
      </w:r>
    </w:p>
    <w:p w14:paraId="7058FED6" w14:textId="77777777" w:rsidR="00F8557C" w:rsidRDefault="00000000">
      <w:pPr>
        <w:pStyle w:val="berschrift3"/>
      </w:pPr>
      <w:r>
        <w:t>c) ἐσήμανεν – „kundtun“ oder „in Zeichen kundtun“?</w:t>
      </w:r>
    </w:p>
    <w:p w14:paraId="2135472A" w14:textId="77777777" w:rsidR="00F8557C" w:rsidRDefault="00000000">
      <w:r>
        <w:t>Das Verb σημαίνω kann allgemein „anzeigen/kundtun“ bedeuten und im Johannesevangelium auch auf bildhaftes bzw. zeichenhaftes Anzeigen verweisen. Die Parallele zu Dan 2,45 ist exegetisch relevant, weil dort eine symbolische Traumvision gedeutet wird. Einige Ausleger machen daraus ein Programm für die Symbolsprache der ganzen Offenbarung.</w:t>
      </w:r>
    </w:p>
    <w:p w14:paraId="13F7CDA2" w14:textId="77777777" w:rsidR="00F8557C" w:rsidRDefault="00000000">
      <w:r>
        <w:t>Die sichere Aussage lautet: Das Verb passt ausgezeichnet zur Zeichen- und Bildkommunikation des Buches. Die stärkere Behauptung, das Verb allein zwinge jede Einzelheit in symbolische Auslegung, geht über den Lexembefund hinaus.</w:t>
      </w:r>
    </w:p>
    <w:p w14:paraId="24987C3F" w14:textId="77777777" w:rsidR="00F8557C" w:rsidRDefault="00000000">
      <w:r>
        <w:t>Bewertung: Erstexegese bestätigt; Formulierung „kundtun – wahrscheinlich mit zeichenhafter Kommunikation im Hintergrund“ ist am saubersten.</w:t>
      </w:r>
    </w:p>
    <w:p w14:paraId="08E33FCD" w14:textId="77777777" w:rsidR="00F8557C" w:rsidRDefault="00000000">
      <w:pPr>
        <w:pStyle w:val="berschrift3"/>
      </w:pPr>
      <w:r>
        <w:t>d) V. 3 – öffentliche Lesung und Gemeindepraxis</w:t>
      </w:r>
    </w:p>
    <w:p w14:paraId="111356D2" w14:textId="77777777" w:rsidR="00F8557C" w:rsidRDefault="00000000">
      <w:r>
        <w:t>Die Forschung zur Oralität der Offenbarung unterstreicht den Wechsel Singular/Plural: ein Vorleser, viele Hörende. García Ureña und Arbeiten zur performativen/liturgischen Funktion zeigen, dass die Offenbarung als hörbarer Text konzipiert ist. Die NET-Noten erklären „read aloud“ ebenfalls aus der antiken öffentlichen Lesesituation.</w:t>
      </w:r>
    </w:p>
    <w:p w14:paraId="2DF6645F" w14:textId="77777777" w:rsidR="00F8557C" w:rsidRDefault="00000000">
      <w:r>
        <w:t>Die Seligpreisung verbindet Rezeption und Ethik: hören und τηρεῖν gehören zusammen. Prophetie ist damit keine Spekulationsware, sondern ein Wort, das bewahrt werden will.</w:t>
      </w:r>
    </w:p>
    <w:p w14:paraId="60755F2F" w14:textId="77777777" w:rsidR="00F8557C" w:rsidRDefault="00000000">
      <w:r>
        <w:t>Bewertung: Erstexegese stark bestätigt.</w:t>
      </w:r>
    </w:p>
    <w:p w14:paraId="11D183A4" w14:textId="77777777" w:rsidR="00F8557C" w:rsidRDefault="00000000">
      <w:pPr>
        <w:pStyle w:val="berschrift3"/>
      </w:pPr>
      <w:r>
        <w:t>e) Historischer Druck: Verfolgung oder Loyalitätskonflikt?</w:t>
      </w:r>
    </w:p>
    <w:p w14:paraId="2DB3DDD5" w14:textId="77777777" w:rsidR="00F8557C" w:rsidRDefault="00000000">
      <w:r>
        <w:t>Neuere Sozialgeschichtsforschung warnt vor der alten Standardannahme einer reichsweiten, von Domitian zentral angeordneten Christenverfolgung. Warren Carter (2020) hält solche Rekonstruktionen für historisch nicht tragfähig; Steven Friesen und Thomas Slater beschreiben eher vielfältige lokale soziale, religiöse und ökonomische Konfliktlagen sowie Druck zur Teilnahme an der römischen Kultur und ihren Kulten.</w:t>
      </w:r>
    </w:p>
    <w:p w14:paraId="6851F125" w14:textId="77777777" w:rsidR="00F8557C" w:rsidRDefault="00000000">
      <w:r>
        <w:t>Das heißt nicht, dass es keine Bedrängnis, Gewalt oder Todesfälle gab; die Offenbarung selbst kennt sie. Es heißt: Der Hintergrund darf nicht pauschal als einheitliches staatliches Verfolgungsprogramm beschrieben werden.</w:t>
      </w:r>
    </w:p>
    <w:p w14:paraId="2A9CFE32" w14:textId="77777777" w:rsidR="00F8557C" w:rsidRDefault="00000000">
      <w:r>
        <w:t>Bewertung: Die Vorsicht der Erstexegese wird stark bestätigt.</w:t>
      </w:r>
    </w:p>
    <w:p w14:paraId="63D09143" w14:textId="77777777" w:rsidR="00F8557C" w:rsidRDefault="00000000">
      <w:pPr>
        <w:pStyle w:val="berschrift2"/>
      </w:pPr>
      <w:r>
        <w:lastRenderedPageBreak/>
        <w:t>2.5 Pflichtvergleich: Phase A versus Forschung</w:t>
      </w:r>
    </w:p>
    <w:tbl>
      <w:tblPr>
        <w:tblStyle w:val="Tabellenraster"/>
        <w:tblW w:w="0" w:type="auto"/>
        <w:jc w:val="center"/>
        <w:tblLook w:val="04A0" w:firstRow="1" w:lastRow="0" w:firstColumn="1" w:lastColumn="0" w:noHBand="0" w:noVBand="1"/>
      </w:tblPr>
      <w:tblGrid>
        <w:gridCol w:w="4089"/>
        <w:gridCol w:w="3794"/>
        <w:gridCol w:w="2289"/>
      </w:tblGrid>
      <w:tr w:rsidR="00F8557C" w14:paraId="7F08AFC8" w14:textId="77777777">
        <w:trPr>
          <w:tblHeader/>
          <w:jc w:val="center"/>
        </w:trPr>
        <w:tc>
          <w:tcPr>
            <w:tcW w:w="4535" w:type="dxa"/>
            <w:shd w:val="clear" w:color="auto" w:fill="E6E1D8"/>
            <w:tcMar>
              <w:top w:w="90" w:type="dxa"/>
              <w:left w:w="100" w:type="dxa"/>
              <w:bottom w:w="90" w:type="dxa"/>
              <w:right w:w="100" w:type="dxa"/>
            </w:tcMar>
            <w:vAlign w:val="center"/>
          </w:tcPr>
          <w:p w14:paraId="5361B405" w14:textId="77777777" w:rsidR="00F8557C" w:rsidRDefault="00000000">
            <w:pPr>
              <w:jc w:val="center"/>
            </w:pPr>
            <w:r>
              <w:rPr>
                <w:b/>
              </w:rPr>
              <w:t>Aussage der Erstexegese</w:t>
            </w:r>
          </w:p>
        </w:tc>
        <w:tc>
          <w:tcPr>
            <w:tcW w:w="3969" w:type="dxa"/>
            <w:shd w:val="clear" w:color="auto" w:fill="E6E1D8"/>
            <w:tcMar>
              <w:top w:w="90" w:type="dxa"/>
              <w:left w:w="100" w:type="dxa"/>
              <w:bottom w:w="90" w:type="dxa"/>
              <w:right w:w="100" w:type="dxa"/>
            </w:tcMar>
            <w:vAlign w:val="center"/>
          </w:tcPr>
          <w:p w14:paraId="6644073F" w14:textId="77777777" w:rsidR="00F8557C" w:rsidRDefault="00000000">
            <w:pPr>
              <w:jc w:val="center"/>
            </w:pPr>
            <w:r>
              <w:rPr>
                <w:b/>
              </w:rPr>
              <w:t>Forschungsbefund</w:t>
            </w:r>
          </w:p>
        </w:tc>
        <w:tc>
          <w:tcPr>
            <w:tcW w:w="1701" w:type="dxa"/>
            <w:shd w:val="clear" w:color="auto" w:fill="E6E1D8"/>
            <w:tcMar>
              <w:top w:w="90" w:type="dxa"/>
              <w:left w:w="100" w:type="dxa"/>
              <w:bottom w:w="90" w:type="dxa"/>
              <w:right w:w="100" w:type="dxa"/>
            </w:tcMar>
            <w:vAlign w:val="center"/>
          </w:tcPr>
          <w:p w14:paraId="5AD6D726" w14:textId="77777777" w:rsidR="00F8557C" w:rsidRDefault="00000000">
            <w:pPr>
              <w:jc w:val="center"/>
            </w:pPr>
            <w:r>
              <w:rPr>
                <w:b/>
              </w:rPr>
              <w:t>Urteil</w:t>
            </w:r>
          </w:p>
        </w:tc>
      </w:tr>
      <w:tr w:rsidR="00F8557C" w14:paraId="1937616D" w14:textId="77777777">
        <w:trPr>
          <w:jc w:val="center"/>
        </w:trPr>
        <w:tc>
          <w:tcPr>
            <w:tcW w:w="4535" w:type="dxa"/>
            <w:tcMar>
              <w:top w:w="90" w:type="dxa"/>
              <w:left w:w="100" w:type="dxa"/>
              <w:bottom w:w="90" w:type="dxa"/>
              <w:right w:w="100" w:type="dxa"/>
            </w:tcMar>
          </w:tcPr>
          <w:p w14:paraId="0B4C89D7" w14:textId="77777777" w:rsidR="00F8557C" w:rsidRDefault="00000000">
            <w:r>
              <w:t>1,1–3 ist programmatisches Vorwort; V. 3 eigene Seligpreisung</w:t>
            </w:r>
          </w:p>
        </w:tc>
        <w:tc>
          <w:tcPr>
            <w:tcW w:w="3969" w:type="dxa"/>
            <w:tcMar>
              <w:top w:w="90" w:type="dxa"/>
              <w:left w:w="100" w:type="dxa"/>
              <w:bottom w:w="90" w:type="dxa"/>
              <w:right w:w="100" w:type="dxa"/>
            </w:tcMar>
          </w:tcPr>
          <w:p w14:paraId="1250AC17" w14:textId="77777777" w:rsidR="00F8557C" w:rsidRDefault="00000000">
            <w:r>
              <w:t>Aune-Gliederung und DBG-Bibelkunde</w:t>
            </w:r>
          </w:p>
        </w:tc>
        <w:tc>
          <w:tcPr>
            <w:tcW w:w="1701" w:type="dxa"/>
            <w:tcMar>
              <w:top w:w="90" w:type="dxa"/>
              <w:left w:w="100" w:type="dxa"/>
              <w:bottom w:w="90" w:type="dxa"/>
              <w:right w:w="100" w:type="dxa"/>
            </w:tcMar>
          </w:tcPr>
          <w:p w14:paraId="3BE69D90" w14:textId="77777777" w:rsidR="00F8557C" w:rsidRDefault="00000000">
            <w:r>
              <w:t>stark bestätigt</w:t>
            </w:r>
          </w:p>
        </w:tc>
      </w:tr>
      <w:tr w:rsidR="00F8557C" w14:paraId="25BC2D67" w14:textId="77777777">
        <w:trPr>
          <w:jc w:val="center"/>
        </w:trPr>
        <w:tc>
          <w:tcPr>
            <w:tcW w:w="4535" w:type="dxa"/>
            <w:tcMar>
              <w:top w:w="90" w:type="dxa"/>
              <w:left w:w="100" w:type="dxa"/>
              <w:bottom w:w="90" w:type="dxa"/>
              <w:right w:w="100" w:type="dxa"/>
            </w:tcMar>
          </w:tcPr>
          <w:p w14:paraId="7CA14A57" w14:textId="77777777" w:rsidR="00F8557C" w:rsidRDefault="00000000">
            <w:r>
              <w:t>„Offenbarung Jesu Christi“ primär = von Christus</w:t>
            </w:r>
          </w:p>
        </w:tc>
        <w:tc>
          <w:tcPr>
            <w:tcW w:w="3969" w:type="dxa"/>
            <w:tcMar>
              <w:top w:w="90" w:type="dxa"/>
              <w:left w:w="100" w:type="dxa"/>
              <w:bottom w:w="90" w:type="dxa"/>
              <w:right w:w="100" w:type="dxa"/>
            </w:tcMar>
          </w:tcPr>
          <w:p w14:paraId="52ADF134" w14:textId="77777777" w:rsidR="00F8557C" w:rsidRDefault="00000000">
            <w:r>
              <w:t>Osborne, Aune/NET-Noten</w:t>
            </w:r>
          </w:p>
        </w:tc>
        <w:tc>
          <w:tcPr>
            <w:tcW w:w="1701" w:type="dxa"/>
            <w:tcMar>
              <w:top w:w="90" w:type="dxa"/>
              <w:left w:w="100" w:type="dxa"/>
              <w:bottom w:w="90" w:type="dxa"/>
              <w:right w:w="100" w:type="dxa"/>
            </w:tcMar>
          </w:tcPr>
          <w:p w14:paraId="760B2CA2" w14:textId="77777777" w:rsidR="00F8557C" w:rsidRDefault="00000000">
            <w:r>
              <w:t>stark bestätigt; objektiver Nebensinn offen</w:t>
            </w:r>
          </w:p>
        </w:tc>
      </w:tr>
      <w:tr w:rsidR="00F8557C" w14:paraId="71C72DE4" w14:textId="77777777">
        <w:trPr>
          <w:jc w:val="center"/>
        </w:trPr>
        <w:tc>
          <w:tcPr>
            <w:tcW w:w="4535" w:type="dxa"/>
            <w:tcMar>
              <w:top w:w="90" w:type="dxa"/>
              <w:left w:w="100" w:type="dxa"/>
              <w:bottom w:w="90" w:type="dxa"/>
              <w:right w:w="100" w:type="dxa"/>
            </w:tcMar>
          </w:tcPr>
          <w:p w14:paraId="3F268748" w14:textId="77777777" w:rsidR="00F8557C" w:rsidRDefault="00000000">
            <w:r>
              <w:t>Daniel 2 als wichtiger Hintergrund</w:t>
            </w:r>
          </w:p>
        </w:tc>
        <w:tc>
          <w:tcPr>
            <w:tcW w:w="3969" w:type="dxa"/>
            <w:tcMar>
              <w:top w:w="90" w:type="dxa"/>
              <w:left w:w="100" w:type="dxa"/>
              <w:bottom w:w="90" w:type="dxa"/>
              <w:right w:w="100" w:type="dxa"/>
            </w:tcMar>
          </w:tcPr>
          <w:p w14:paraId="4420BE35" w14:textId="77777777" w:rsidR="00F8557C" w:rsidRDefault="00000000">
            <w:r>
              <w:t>Moyise/Forschung; zahlreiche Kommentarbezüge</w:t>
            </w:r>
          </w:p>
        </w:tc>
        <w:tc>
          <w:tcPr>
            <w:tcW w:w="1701" w:type="dxa"/>
            <w:tcMar>
              <w:top w:w="90" w:type="dxa"/>
              <w:left w:w="100" w:type="dxa"/>
              <w:bottom w:w="90" w:type="dxa"/>
              <w:right w:w="100" w:type="dxa"/>
            </w:tcMar>
          </w:tcPr>
          <w:p w14:paraId="372DC40E" w14:textId="77777777" w:rsidR="00F8557C" w:rsidRDefault="00000000">
            <w:r>
              <w:t>stark bestätigt</w:t>
            </w:r>
          </w:p>
        </w:tc>
      </w:tr>
      <w:tr w:rsidR="00F8557C" w14:paraId="076923F0" w14:textId="77777777">
        <w:trPr>
          <w:jc w:val="center"/>
        </w:trPr>
        <w:tc>
          <w:tcPr>
            <w:tcW w:w="4535" w:type="dxa"/>
            <w:tcMar>
              <w:top w:w="90" w:type="dxa"/>
              <w:left w:w="100" w:type="dxa"/>
              <w:bottom w:w="90" w:type="dxa"/>
              <w:right w:w="100" w:type="dxa"/>
            </w:tcMar>
          </w:tcPr>
          <w:p w14:paraId="013877BF" w14:textId="77777777" w:rsidR="00F8557C" w:rsidRDefault="00000000">
            <w:r>
              <w:t>ἐν τάχει / ἐγγύς drücken Dringlichkeit/Nähe aus</w:t>
            </w:r>
          </w:p>
        </w:tc>
        <w:tc>
          <w:tcPr>
            <w:tcW w:w="3969" w:type="dxa"/>
            <w:tcMar>
              <w:top w:w="90" w:type="dxa"/>
              <w:left w:w="100" w:type="dxa"/>
              <w:bottom w:w="90" w:type="dxa"/>
              <w:right w:w="100" w:type="dxa"/>
            </w:tcMar>
          </w:tcPr>
          <w:p w14:paraId="6E568DDC" w14:textId="77777777" w:rsidR="00F8557C" w:rsidRDefault="00000000">
            <w:r>
              <w:t>Kommentarforschung + Rahmen 22,6</w:t>
            </w:r>
          </w:p>
        </w:tc>
        <w:tc>
          <w:tcPr>
            <w:tcW w:w="1701" w:type="dxa"/>
            <w:tcMar>
              <w:top w:w="90" w:type="dxa"/>
              <w:left w:w="100" w:type="dxa"/>
              <w:bottom w:w="90" w:type="dxa"/>
              <w:right w:w="100" w:type="dxa"/>
            </w:tcMar>
          </w:tcPr>
          <w:p w14:paraId="098D28F6" w14:textId="77777777" w:rsidR="00F8557C" w:rsidRDefault="00000000">
            <w:r>
              <w:t>überwiegend bestätigt; Erfüllungsmodell strittig</w:t>
            </w:r>
          </w:p>
        </w:tc>
      </w:tr>
      <w:tr w:rsidR="00F8557C" w14:paraId="121D01A8" w14:textId="77777777">
        <w:trPr>
          <w:jc w:val="center"/>
        </w:trPr>
        <w:tc>
          <w:tcPr>
            <w:tcW w:w="4535" w:type="dxa"/>
            <w:tcMar>
              <w:top w:w="90" w:type="dxa"/>
              <w:left w:w="100" w:type="dxa"/>
              <w:bottom w:w="90" w:type="dxa"/>
              <w:right w:w="100" w:type="dxa"/>
            </w:tcMar>
          </w:tcPr>
          <w:p w14:paraId="67945500" w14:textId="77777777" w:rsidR="00F8557C" w:rsidRDefault="00000000">
            <w:r>
              <w:t>ἐσήμανεν enthält Zeichencharakter</w:t>
            </w:r>
          </w:p>
        </w:tc>
        <w:tc>
          <w:tcPr>
            <w:tcW w:w="3969" w:type="dxa"/>
            <w:tcMar>
              <w:top w:w="90" w:type="dxa"/>
              <w:left w:w="100" w:type="dxa"/>
              <w:bottom w:w="90" w:type="dxa"/>
              <w:right w:w="100" w:type="dxa"/>
            </w:tcMar>
          </w:tcPr>
          <w:p w14:paraId="408DBE49" w14:textId="77777777" w:rsidR="00F8557C" w:rsidRDefault="00000000">
            <w:r>
              <w:t>Daniel-Bezug + lexikalische Diskussion</w:t>
            </w:r>
          </w:p>
        </w:tc>
        <w:tc>
          <w:tcPr>
            <w:tcW w:w="1701" w:type="dxa"/>
            <w:tcMar>
              <w:top w:w="90" w:type="dxa"/>
              <w:left w:w="100" w:type="dxa"/>
              <w:bottom w:w="90" w:type="dxa"/>
              <w:right w:w="100" w:type="dxa"/>
            </w:tcMar>
          </w:tcPr>
          <w:p w14:paraId="18C9D5D5" w14:textId="77777777" w:rsidR="00F8557C" w:rsidRDefault="00000000">
            <w:r>
              <w:t>präzisierungsbedürftig: nicht überziehen</w:t>
            </w:r>
          </w:p>
        </w:tc>
      </w:tr>
      <w:tr w:rsidR="00F8557C" w14:paraId="24E95E4B" w14:textId="77777777">
        <w:trPr>
          <w:jc w:val="center"/>
        </w:trPr>
        <w:tc>
          <w:tcPr>
            <w:tcW w:w="4535" w:type="dxa"/>
            <w:tcMar>
              <w:top w:w="90" w:type="dxa"/>
              <w:left w:w="100" w:type="dxa"/>
              <w:bottom w:w="90" w:type="dxa"/>
              <w:right w:w="100" w:type="dxa"/>
            </w:tcMar>
          </w:tcPr>
          <w:p w14:paraId="7DD54320" w14:textId="77777777" w:rsidR="00F8557C" w:rsidRDefault="00000000">
            <w:r>
              <w:t>V. 3 setzt öffentliche Lesung voraus</w:t>
            </w:r>
          </w:p>
        </w:tc>
        <w:tc>
          <w:tcPr>
            <w:tcW w:w="3969" w:type="dxa"/>
            <w:tcMar>
              <w:top w:w="90" w:type="dxa"/>
              <w:left w:w="100" w:type="dxa"/>
              <w:bottom w:w="90" w:type="dxa"/>
              <w:right w:w="100" w:type="dxa"/>
            </w:tcMar>
          </w:tcPr>
          <w:p w14:paraId="797D0C32" w14:textId="77777777" w:rsidR="00F8557C" w:rsidRDefault="00000000">
            <w:r>
              <w:t>Oralitätsforschung + Übersetzungsnoten</w:t>
            </w:r>
          </w:p>
        </w:tc>
        <w:tc>
          <w:tcPr>
            <w:tcW w:w="1701" w:type="dxa"/>
            <w:tcMar>
              <w:top w:w="90" w:type="dxa"/>
              <w:left w:w="100" w:type="dxa"/>
              <w:bottom w:w="90" w:type="dxa"/>
              <w:right w:w="100" w:type="dxa"/>
            </w:tcMar>
          </w:tcPr>
          <w:p w14:paraId="4D49D7D1" w14:textId="77777777" w:rsidR="00F8557C" w:rsidRDefault="00000000">
            <w:r>
              <w:t>stark bestätigt</w:t>
            </w:r>
          </w:p>
        </w:tc>
      </w:tr>
      <w:tr w:rsidR="00F8557C" w14:paraId="5A081ABA" w14:textId="77777777">
        <w:trPr>
          <w:jc w:val="center"/>
        </w:trPr>
        <w:tc>
          <w:tcPr>
            <w:tcW w:w="4535" w:type="dxa"/>
            <w:tcMar>
              <w:top w:w="90" w:type="dxa"/>
              <w:left w:w="100" w:type="dxa"/>
              <w:bottom w:w="90" w:type="dxa"/>
              <w:right w:w="100" w:type="dxa"/>
            </w:tcMar>
          </w:tcPr>
          <w:p w14:paraId="27D33645" w14:textId="77777777" w:rsidR="00F8557C" w:rsidRDefault="00000000">
            <w:r>
              <w:t>Prophetie ist mehr als Zukunftsvorhersage</w:t>
            </w:r>
          </w:p>
        </w:tc>
        <w:tc>
          <w:tcPr>
            <w:tcW w:w="3969" w:type="dxa"/>
            <w:tcMar>
              <w:top w:w="90" w:type="dxa"/>
              <w:left w:w="100" w:type="dxa"/>
              <w:bottom w:w="90" w:type="dxa"/>
              <w:right w:w="100" w:type="dxa"/>
            </w:tcMar>
          </w:tcPr>
          <w:p w14:paraId="6CD5B26E" w14:textId="77777777" w:rsidR="00F8557C" w:rsidRDefault="00000000">
            <w:r>
              <w:t>Genre-Forschung/Bauckham/Koester</w:t>
            </w:r>
          </w:p>
        </w:tc>
        <w:tc>
          <w:tcPr>
            <w:tcW w:w="1701" w:type="dxa"/>
            <w:tcMar>
              <w:top w:w="90" w:type="dxa"/>
              <w:left w:w="100" w:type="dxa"/>
              <w:bottom w:w="90" w:type="dxa"/>
              <w:right w:w="100" w:type="dxa"/>
            </w:tcMar>
          </w:tcPr>
          <w:p w14:paraId="5D2B1D18" w14:textId="77777777" w:rsidR="00F8557C" w:rsidRDefault="00000000">
            <w:r>
              <w:t>stark bestätigt</w:t>
            </w:r>
          </w:p>
        </w:tc>
      </w:tr>
      <w:tr w:rsidR="00F8557C" w14:paraId="3DCD30F2" w14:textId="77777777">
        <w:trPr>
          <w:jc w:val="center"/>
        </w:trPr>
        <w:tc>
          <w:tcPr>
            <w:tcW w:w="4535" w:type="dxa"/>
            <w:tcMar>
              <w:top w:w="90" w:type="dxa"/>
              <w:left w:w="100" w:type="dxa"/>
              <w:bottom w:w="90" w:type="dxa"/>
              <w:right w:w="100" w:type="dxa"/>
            </w:tcMar>
          </w:tcPr>
          <w:p w14:paraId="03F638D3" w14:textId="77777777" w:rsidR="00F8557C" w:rsidRDefault="00000000">
            <w:r>
              <w:t>Kein pauschales Domitian-Verfolgungsschema</w:t>
            </w:r>
          </w:p>
        </w:tc>
        <w:tc>
          <w:tcPr>
            <w:tcW w:w="3969" w:type="dxa"/>
            <w:tcMar>
              <w:top w:w="90" w:type="dxa"/>
              <w:left w:w="100" w:type="dxa"/>
              <w:bottom w:w="90" w:type="dxa"/>
              <w:right w:w="100" w:type="dxa"/>
            </w:tcMar>
          </w:tcPr>
          <w:p w14:paraId="17EEB5AB" w14:textId="77777777" w:rsidR="00F8557C" w:rsidRDefault="00000000">
            <w:r>
              <w:t>Carter, Friesen, Slater</w:t>
            </w:r>
          </w:p>
        </w:tc>
        <w:tc>
          <w:tcPr>
            <w:tcW w:w="1701" w:type="dxa"/>
            <w:tcMar>
              <w:top w:w="90" w:type="dxa"/>
              <w:left w:w="100" w:type="dxa"/>
              <w:bottom w:w="90" w:type="dxa"/>
              <w:right w:w="100" w:type="dxa"/>
            </w:tcMar>
          </w:tcPr>
          <w:p w14:paraId="3BBC31BF" w14:textId="77777777" w:rsidR="00F8557C" w:rsidRDefault="00000000">
            <w:r>
              <w:t>stark bestätigt</w:t>
            </w:r>
          </w:p>
        </w:tc>
      </w:tr>
    </w:tbl>
    <w:p w14:paraId="03DB957A" w14:textId="77777777" w:rsidR="00F8557C" w:rsidRDefault="00000000">
      <w:r>
        <w:br w:type="page"/>
      </w:r>
    </w:p>
    <w:p w14:paraId="1A020978" w14:textId="77777777" w:rsidR="00F8557C" w:rsidRDefault="00000000">
      <w:pPr>
        <w:pStyle w:val="berschrift1"/>
      </w:pPr>
      <w:r>
        <w:lastRenderedPageBreak/>
        <w:t>3. Geprüfte exegetische Synthese – Phase C</w:t>
      </w:r>
    </w:p>
    <w:p w14:paraId="5B31F125" w14:textId="77777777" w:rsidR="00F8557C" w:rsidRDefault="00000000">
      <w:pPr>
        <w:pStyle w:val="berschrift2"/>
      </w:pPr>
      <w:r>
        <w:t>3.1 Korrigierte exegetische Landkarte</w:t>
      </w:r>
    </w:p>
    <w:p w14:paraId="25FD0D42" w14:textId="77777777" w:rsidR="00F8557C" w:rsidRDefault="00000000">
      <w:pPr>
        <w:pStyle w:val="Aufzhlungszeichen"/>
      </w:pPr>
      <w:r>
        <w:t>Die erste Aussage des Buches lautet nicht „Katastrophe“, sondern „Offenbarung“: Gott macht Wirklichkeit sichtbar.</w:t>
      </w:r>
    </w:p>
    <w:p w14:paraId="77F25745" w14:textId="77777777" w:rsidR="00F8557C" w:rsidRDefault="00000000">
      <w:pPr>
        <w:pStyle w:val="Aufzhlungszeichen"/>
      </w:pPr>
      <w:r>
        <w:t>Jesus Christus ist der autorisierte Mittler der Offenbarung; zugleich ist er deren christologisches Zentrum.</w:t>
      </w:r>
    </w:p>
    <w:p w14:paraId="270AD80C" w14:textId="77777777" w:rsidR="00F8557C" w:rsidRDefault="00000000">
      <w:pPr>
        <w:pStyle w:val="Aufzhlungszeichen"/>
      </w:pPr>
      <w:r>
        <w:t>Die Offenbarung steht in der Daniel-Tradition, verschiebt deren Zukunftsperspektive jedoch in eine eschatologisch dringliche Gegenwart.</w:t>
      </w:r>
    </w:p>
    <w:p w14:paraId="660F0013" w14:textId="77777777" w:rsidR="00F8557C" w:rsidRDefault="00000000">
      <w:pPr>
        <w:pStyle w:val="Aufzhlungszeichen"/>
      </w:pPr>
      <w:r>
        <w:t>Das Buch versteht sich gleichzeitig als Apokalypse, Prophetie und – ab 1,4 – Brief. Diese Kombination verhindert sowohl rein wörtliche Endzeitkartografie als auch beliebige Symbolisierung.</w:t>
      </w:r>
    </w:p>
    <w:p w14:paraId="6882D030" w14:textId="77777777" w:rsidR="00F8557C" w:rsidRDefault="00000000">
      <w:pPr>
        <w:pStyle w:val="Aufzhlungszeichen"/>
      </w:pPr>
      <w:r>
        <w:t>Johannes ist Zeuge, nicht Geheimwissensbesitzer. Seine Autorität ist abgeleitet: Er gibt weiter, was er empfängt.</w:t>
      </w:r>
    </w:p>
    <w:p w14:paraId="7D79A1DE" w14:textId="77777777" w:rsidR="00F8557C" w:rsidRDefault="00000000">
      <w:pPr>
        <w:pStyle w:val="Aufzhlungszeichen"/>
      </w:pPr>
      <w:r>
        <w:t>Die Gemeinde ist nicht Zuschauerin. Vorlesen, hören und bewahren bilden eine einzige Rezeptionsbewegung.</w:t>
      </w:r>
    </w:p>
    <w:p w14:paraId="3E43B916" w14:textId="77777777" w:rsidR="00F8557C" w:rsidRDefault="00000000">
      <w:pPr>
        <w:pStyle w:val="Aufzhlungszeichen"/>
      </w:pPr>
      <w:r>
        <w:t>„Bald/nahe“ ist reale rhetorische Dringlichkeit. Sie darf weder in einen Terminkalender noch in ein bedeutungsloses „irgendwann“ umgebogen werden.</w:t>
      </w:r>
    </w:p>
    <w:p w14:paraId="47204926" w14:textId="77777777" w:rsidR="00F8557C" w:rsidRDefault="00000000">
      <w:pPr>
        <w:pStyle w:val="Aufzhlungszeichen"/>
      </w:pPr>
      <w:r>
        <w:t>Historisch ist eher mit unterschiedlichen Loyalitäts-, Anpassungs- und Bedrängniskonflikten in den Städten Asiens zu rechnen als mit einer einzigen reichsweiten Verfolgungslage.</w:t>
      </w:r>
    </w:p>
    <w:p w14:paraId="3CA30D92" w14:textId="77777777" w:rsidR="00F8557C" w:rsidRDefault="00000000">
      <w:pPr>
        <w:pStyle w:val="berschrift2"/>
      </w:pPr>
      <w:r>
        <w:t>3.2 Theologische Hauptaussagen</w:t>
      </w:r>
    </w:p>
    <w:p w14:paraId="564C80EA" w14:textId="77777777" w:rsidR="00F8557C" w:rsidRDefault="00000000">
      <w:r>
        <w:t>Gottesbild: Gott ist Ursprung und Herr der Offenbarung. Geschichte ist nicht transparent, aber sie ist Gott nicht entglitten.</w:t>
      </w:r>
    </w:p>
    <w:p w14:paraId="4FFA79E8" w14:textId="77777777" w:rsidR="00F8557C" w:rsidRDefault="00000000">
      <w:r>
        <w:t>Christologie: Jesus Christus empfängt, vermittelt und prägt die Offenbarung. Wer das Buch liest, wird nicht zuerst auf Tiere und Katastrophen, sondern auf Christus verwiesen.</w:t>
      </w:r>
    </w:p>
    <w:p w14:paraId="57239E82" w14:textId="77777777" w:rsidR="00F8557C" w:rsidRDefault="00000000">
      <w:r>
        <w:t>Gemeinde: Gemeinde ist Hörgemeinschaft. Das Wort wird öffentlich gelesen; Gemeinde hört gemeinsam und lässt sich zu Treue formen.</w:t>
      </w:r>
    </w:p>
    <w:p w14:paraId="0C84CA48" w14:textId="77777777" w:rsidR="00F8557C" w:rsidRDefault="00000000">
      <w:r>
        <w:t>Prophetie: Prophetisches Wort deutet Wirklichkeit von Gott her. Es kündigt Zukunft an, aber sein Ziel ist gegenwärtige Treue.</w:t>
      </w:r>
    </w:p>
    <w:p w14:paraId="5D50D298" w14:textId="77777777" w:rsidR="00F8557C" w:rsidRDefault="00000000">
      <w:r>
        <w:t>Eschatologie: „Die Zeit ist nahe“ erzeugt Dringlichkeit ohne Datierungswissen. Christlicher Glaube lebt wach zwischen Gottes schon geschehener Christus-Tat und seiner ausstehenden Vollendung.</w:t>
      </w:r>
    </w:p>
    <w:p w14:paraId="00ABF208" w14:textId="77777777" w:rsidR="00F8557C" w:rsidRDefault="00000000">
      <w:r>
        <w:t>Evangelium: Noch bevor die Gemeinde etwas tun soll, gibt Gott Offenbarung. Er lässt seine Gemeinde nicht orientierungslos. Er spricht durch Jesus Christus und nennt die Hörenden und Bewahrenden „selig“.</w:t>
      </w:r>
    </w:p>
    <w:p w14:paraId="5F70C418" w14:textId="77777777" w:rsidR="00F8557C" w:rsidRDefault="00000000">
      <w:pPr>
        <w:pStyle w:val="berschrift2"/>
      </w:pPr>
      <w:r>
        <w:t>3.3 Exegetischer Skopus</w:t>
      </w:r>
    </w:p>
    <w:p w14:paraId="041FA67D" w14:textId="77777777" w:rsidR="00F8557C" w:rsidRDefault="00000000">
      <w:pPr>
        <w:pStyle w:val="Callout"/>
      </w:pPr>
      <w:r>
        <w:t>Offb 1,1–3 stellt die folgende Schrift als von Gott an Jesus Christus gegebene und durch Engel und Johannes vermittelte Offenbarung vor. Sie erschließt der Gemeinde Gottes Handeln in einer eschatologisch dringlichen Zeit und beansprucht als Prophetie öffentliche Lesung, hörenden Empfang und treues Bewahren.</w:t>
      </w:r>
    </w:p>
    <w:p w14:paraId="4D42B937" w14:textId="77777777" w:rsidR="00F8557C" w:rsidRDefault="00000000">
      <w:pPr>
        <w:pStyle w:val="berschrift2"/>
      </w:pPr>
      <w:r>
        <w:t>3.4 Homiletischer Skopus</w:t>
      </w:r>
    </w:p>
    <w:p w14:paraId="13C8487A" w14:textId="77777777" w:rsidR="00F8557C" w:rsidRDefault="00000000">
      <w:pPr>
        <w:pStyle w:val="Callout"/>
      </w:pPr>
      <w:r>
        <w:t>Gott lässt seine Gemeinde nicht im Dunkeln: In Jesus Christus öffnet er den Blick auf seine Wirklichkeit, damit wir nicht spekulieren, sondern hören, vertrauen und treu leben.</w:t>
      </w:r>
    </w:p>
    <w:p w14:paraId="05912D77" w14:textId="77777777" w:rsidR="00F8557C" w:rsidRDefault="00000000">
      <w:pPr>
        <w:pStyle w:val="berschrift1"/>
      </w:pPr>
      <w:r>
        <w:lastRenderedPageBreak/>
        <w:t>4. Brücke zur Gemeinde – Phase D</w:t>
      </w:r>
    </w:p>
    <w:p w14:paraId="2D89EA1A" w14:textId="77777777" w:rsidR="00F8557C" w:rsidRDefault="00000000">
      <w:pPr>
        <w:pStyle w:val="berschrift2"/>
      </w:pPr>
      <w:r>
        <w:t>4.1 Drei Erkenntnisse zum Mitnehmen</w:t>
      </w:r>
    </w:p>
    <w:p w14:paraId="1EE69FF2" w14:textId="77777777" w:rsidR="00F8557C" w:rsidRDefault="00000000">
      <w:pPr>
        <w:pStyle w:val="Listennummer"/>
      </w:pPr>
      <w:r>
        <w:t>Die Offenbarung ist zuerst eine Jesus-Botschaft, kein Gruselbuch und kein geheimer Endzeitcode.</w:t>
      </w:r>
    </w:p>
    <w:p w14:paraId="1092B8BF" w14:textId="77777777" w:rsidR="00F8557C" w:rsidRDefault="00000000">
      <w:pPr>
        <w:pStyle w:val="Listennummer"/>
      </w:pPr>
      <w:r>
        <w:t>Gott gibt Orientierung: Die Botschaft kommt von ihm, wird durch Christus vermittelt und soll in der Gemeinde gehört werden.</w:t>
      </w:r>
    </w:p>
    <w:p w14:paraId="67C622D8" w14:textId="77777777" w:rsidR="00F8557C" w:rsidRDefault="00000000">
      <w:pPr>
        <w:pStyle w:val="Listennummer"/>
      </w:pPr>
      <w:r>
        <w:t>Hören ist noch nicht das Ziel. Selig genannt werden Menschen, die das Gehörte bewahren und danach leben.</w:t>
      </w:r>
    </w:p>
    <w:p w14:paraId="37339FCC" w14:textId="77777777" w:rsidR="00F8557C" w:rsidRDefault="00000000">
      <w:pPr>
        <w:pStyle w:val="berschrift2"/>
      </w:pPr>
      <w:r>
        <w:t>4.2 Schlüsselbild</w:t>
      </w:r>
    </w:p>
    <w:p w14:paraId="52861B17" w14:textId="77777777" w:rsidR="00F8557C" w:rsidRDefault="00000000">
      <w:r>
        <w:t>Schlüsselbild: ein sich öffnender Vorhang. „Apokalypsis“ ist Enthüllung: Der Vorhang wird nicht geöffnet, damit wir neugierig hinter die Kulissen spähen, sondern damit wir sehen, wer die Geschichte trägt. Hinter dem Vorhang steht zuerst Jesus Christus.</w:t>
      </w:r>
    </w:p>
    <w:p w14:paraId="7DCA3438" w14:textId="77777777" w:rsidR="00F8557C" w:rsidRDefault="00000000">
      <w:pPr>
        <w:pStyle w:val="berschrift2"/>
      </w:pPr>
      <w:r>
        <w:t>4.3 Zentrale Leitfrage</w:t>
      </w:r>
    </w:p>
    <w:p w14:paraId="514233A4" w14:textId="77777777" w:rsidR="00F8557C" w:rsidRDefault="00000000">
      <w:pPr>
        <w:pStyle w:val="Callout"/>
      </w:pPr>
      <w:r>
        <w:t>Was verändert sich, wenn ich die Offenbarung zuerst als Enthüllung Jesu Christi lese – und nicht als Buch, das mir Angst machen soll?</w:t>
      </w:r>
    </w:p>
    <w:p w14:paraId="73C3F89C" w14:textId="77777777" w:rsidR="00F8557C" w:rsidRDefault="00000000">
      <w:pPr>
        <w:pStyle w:val="berschrift2"/>
      </w:pPr>
      <w:r>
        <w:t>4.4 Was gehört wohin?</w:t>
      </w:r>
    </w:p>
    <w:tbl>
      <w:tblPr>
        <w:tblStyle w:val="Tabellenraster"/>
        <w:tblW w:w="0" w:type="auto"/>
        <w:jc w:val="center"/>
        <w:tblLook w:val="04A0" w:firstRow="1" w:lastRow="0" w:firstColumn="1" w:lastColumn="0" w:noHBand="0" w:noVBand="1"/>
      </w:tblPr>
      <w:tblGrid>
        <w:gridCol w:w="2828"/>
        <w:gridCol w:w="7344"/>
      </w:tblGrid>
      <w:tr w:rsidR="00F8557C" w14:paraId="60DCE4C9" w14:textId="77777777">
        <w:trPr>
          <w:tblHeader/>
          <w:jc w:val="center"/>
        </w:trPr>
        <w:tc>
          <w:tcPr>
            <w:tcW w:w="2835" w:type="dxa"/>
            <w:shd w:val="clear" w:color="auto" w:fill="E6E1D8"/>
            <w:tcMar>
              <w:top w:w="90" w:type="dxa"/>
              <w:left w:w="100" w:type="dxa"/>
              <w:bottom w:w="90" w:type="dxa"/>
              <w:right w:w="100" w:type="dxa"/>
            </w:tcMar>
            <w:vAlign w:val="center"/>
          </w:tcPr>
          <w:p w14:paraId="4025774D" w14:textId="77777777" w:rsidR="00F8557C" w:rsidRDefault="00000000">
            <w:pPr>
              <w:jc w:val="center"/>
            </w:pPr>
            <w:r>
              <w:rPr>
                <w:b/>
              </w:rPr>
              <w:t>Ebene</w:t>
            </w:r>
          </w:p>
        </w:tc>
        <w:tc>
          <w:tcPr>
            <w:tcW w:w="7370" w:type="dxa"/>
            <w:shd w:val="clear" w:color="auto" w:fill="E6E1D8"/>
            <w:tcMar>
              <w:top w:w="90" w:type="dxa"/>
              <w:left w:w="100" w:type="dxa"/>
              <w:bottom w:w="90" w:type="dxa"/>
              <w:right w:w="100" w:type="dxa"/>
            </w:tcMar>
            <w:vAlign w:val="center"/>
          </w:tcPr>
          <w:p w14:paraId="785E9DE9" w14:textId="77777777" w:rsidR="00F8557C" w:rsidRDefault="00000000">
            <w:pPr>
              <w:jc w:val="center"/>
            </w:pPr>
            <w:r>
              <w:rPr>
                <w:b/>
              </w:rPr>
              <w:t>Inhalt</w:t>
            </w:r>
          </w:p>
        </w:tc>
      </w:tr>
      <w:tr w:rsidR="00F8557C" w14:paraId="467C61DD" w14:textId="77777777">
        <w:trPr>
          <w:jc w:val="center"/>
        </w:trPr>
        <w:tc>
          <w:tcPr>
            <w:tcW w:w="2835" w:type="dxa"/>
            <w:tcMar>
              <w:top w:w="90" w:type="dxa"/>
              <w:left w:w="100" w:type="dxa"/>
              <w:bottom w:w="90" w:type="dxa"/>
              <w:right w:w="100" w:type="dxa"/>
            </w:tcMar>
          </w:tcPr>
          <w:p w14:paraId="1541D7A7" w14:textId="77777777" w:rsidR="00F8557C" w:rsidRDefault="00000000">
            <w:r>
              <w:t>Unbedingt für die Gemeinde</w:t>
            </w:r>
          </w:p>
        </w:tc>
        <w:tc>
          <w:tcPr>
            <w:tcW w:w="7370" w:type="dxa"/>
            <w:tcMar>
              <w:top w:w="90" w:type="dxa"/>
              <w:left w:w="100" w:type="dxa"/>
              <w:bottom w:w="90" w:type="dxa"/>
              <w:right w:w="100" w:type="dxa"/>
            </w:tcMar>
          </w:tcPr>
          <w:p w14:paraId="19FAD2F9" w14:textId="77777777" w:rsidR="00F8557C" w:rsidRDefault="00000000">
            <w:r>
              <w:t>Offenbarung = Enthüllung; Christus als Mitte/Mittler; lesen–hören–bewahren; Seligpreisung.</w:t>
            </w:r>
          </w:p>
        </w:tc>
      </w:tr>
      <w:tr w:rsidR="00F8557C" w14:paraId="30C5CF35" w14:textId="77777777">
        <w:trPr>
          <w:jc w:val="center"/>
        </w:trPr>
        <w:tc>
          <w:tcPr>
            <w:tcW w:w="2835" w:type="dxa"/>
            <w:tcMar>
              <w:top w:w="90" w:type="dxa"/>
              <w:left w:w="100" w:type="dxa"/>
              <w:bottom w:w="90" w:type="dxa"/>
              <w:right w:w="100" w:type="dxa"/>
            </w:tcMar>
          </w:tcPr>
          <w:p w14:paraId="2CC33919" w14:textId="77777777" w:rsidR="00F8557C" w:rsidRDefault="00000000">
            <w:r>
              <w:t>Hilfreich</w:t>
            </w:r>
          </w:p>
        </w:tc>
        <w:tc>
          <w:tcPr>
            <w:tcW w:w="7370" w:type="dxa"/>
            <w:tcMar>
              <w:top w:w="90" w:type="dxa"/>
              <w:left w:w="100" w:type="dxa"/>
              <w:bottom w:w="90" w:type="dxa"/>
              <w:right w:w="100" w:type="dxa"/>
            </w:tcMar>
          </w:tcPr>
          <w:p w14:paraId="58723771" w14:textId="77777777" w:rsidR="00F8557C" w:rsidRDefault="00000000">
            <w:r>
              <w:t>Daniel-2-Hintergrund; öffentliche Vorlesesituation; „bald/nahe“ als Dringlichkeit.</w:t>
            </w:r>
          </w:p>
        </w:tc>
      </w:tr>
      <w:tr w:rsidR="00F8557C" w14:paraId="62037DAB" w14:textId="77777777">
        <w:trPr>
          <w:jc w:val="center"/>
        </w:trPr>
        <w:tc>
          <w:tcPr>
            <w:tcW w:w="2835" w:type="dxa"/>
            <w:tcMar>
              <w:top w:w="90" w:type="dxa"/>
              <w:left w:w="100" w:type="dxa"/>
              <w:bottom w:w="90" w:type="dxa"/>
              <w:right w:w="100" w:type="dxa"/>
            </w:tcMar>
          </w:tcPr>
          <w:p w14:paraId="2FAADFF9" w14:textId="77777777" w:rsidR="00F8557C" w:rsidRDefault="00000000">
            <w:r>
              <w:t>Leiter-Hintergrund</w:t>
            </w:r>
          </w:p>
        </w:tc>
        <w:tc>
          <w:tcPr>
            <w:tcW w:w="7370" w:type="dxa"/>
            <w:tcMar>
              <w:top w:w="90" w:type="dxa"/>
              <w:left w:w="100" w:type="dxa"/>
              <w:bottom w:w="90" w:type="dxa"/>
              <w:right w:w="100" w:type="dxa"/>
            </w:tcMar>
          </w:tcPr>
          <w:p w14:paraId="495F2461" w14:textId="77777777" w:rsidR="00F8557C" w:rsidRDefault="00000000">
            <w:r>
              <w:t>Genitivdebatte; σηµαίνω-Diskussion; textkritische Kleinstvarianten; Debatte um Datierung und Domitian-Verfolgung.</w:t>
            </w:r>
          </w:p>
        </w:tc>
      </w:tr>
    </w:tbl>
    <w:p w14:paraId="3AF9008F" w14:textId="77777777" w:rsidR="00F8557C" w:rsidRDefault="00000000">
      <w:r>
        <w:br w:type="page"/>
      </w:r>
    </w:p>
    <w:p w14:paraId="7D9735F4" w14:textId="77777777" w:rsidR="00F8557C" w:rsidRDefault="00000000">
      <w:pPr>
        <w:pStyle w:val="berschrift1"/>
      </w:pPr>
      <w:r>
        <w:lastRenderedPageBreak/>
        <w:t>5. Fertige Bibelarbeit – Phase E</w:t>
      </w:r>
    </w:p>
    <w:p w14:paraId="2CFDC0D6" w14:textId="77777777" w:rsidR="00F8557C" w:rsidRDefault="00000000">
      <w:r>
        <w:t>Zielgruppe: erwachsene Gemeindeglieder mit unterschiedlichen Vorkenntnissen. Richtwert: 60–75 Minuten. Der Abend ist dialogisch angelegt; die exegetischen Tiefenpunkte werden dosiert eingebracht.</w:t>
      </w:r>
    </w:p>
    <w:p w14:paraId="1DDB9A80" w14:textId="77777777" w:rsidR="00F8557C" w:rsidRDefault="00000000">
      <w:pPr>
        <w:pStyle w:val="berschrift2"/>
      </w:pPr>
      <w:r>
        <w:t>5.1 Einstieg – „Was hörst du bei dem Wort Apokalypse?“</w:t>
      </w:r>
    </w:p>
    <w:p w14:paraId="0CC2E24A" w14:textId="77777777" w:rsidR="00F8557C" w:rsidRDefault="00000000">
      <w:r>
        <w:t>Schreibe groß das Wort „APOKALYPSE“ in die Mitte eines Blattes oder auf eine Tafel. Bitte die Gruppe, spontan Begriffe zu nennen, die ihnen dazu einfallen. Meist kommen Wörter wie Katastrophe, Weltuntergang, Krieg, Angst, Endzeit.</w:t>
      </w:r>
    </w:p>
    <w:p w14:paraId="2B6FF6CB" w14:textId="77777777" w:rsidR="00F8557C" w:rsidRDefault="00000000">
      <w:r>
        <w:t>Dann die Gegenfrage: „Was wäre, wenn das erste Wort der Offenbarung gar nicht Katastrophe bedeutet, sondern Enthüllung – als würde ein Vorhang aufgehen?“</w:t>
      </w:r>
    </w:p>
    <w:p w14:paraId="015B8F49" w14:textId="77777777" w:rsidR="00F8557C" w:rsidRDefault="00000000">
      <w:r>
        <w:t>Zeige – wenn vorhanden – ein Stück Stoff oder ziehe einen Vorhang ein wenig auf. Nicht: Wir dürfen endlich alle Geheimcodes entschlüsseln. Sondern: Gott selbst will etwas sichtbar machen.</w:t>
      </w:r>
    </w:p>
    <w:p w14:paraId="30948636" w14:textId="77777777" w:rsidR="00F8557C" w:rsidRDefault="00000000">
      <w:pPr>
        <w:pStyle w:val="Callout"/>
      </w:pPr>
      <w:r>
        <w:t>Leitfrage des Abends: Was verändert sich, wenn die Offenbarung zuerst Jesus Christus enthüllt und nicht unsere Angst vor der Zukunft füttert?</w:t>
      </w:r>
    </w:p>
    <w:p w14:paraId="4CEDA347" w14:textId="77777777" w:rsidR="00F8557C" w:rsidRDefault="00000000">
      <w:pPr>
        <w:pStyle w:val="berschrift2"/>
      </w:pPr>
      <w:r>
        <w:t>5.2 Textlesung</w:t>
      </w:r>
    </w:p>
    <w:p w14:paraId="539DC215" w14:textId="77777777" w:rsidR="00F8557C" w:rsidRDefault="00000000">
      <w:r>
        <w:t>Textlesung: Offenbarung 1,1–3 – BasisBibel. Den vollständigen Wortlaut bitte aus einer lizenzierten BasisBibel-Ausgabe vorlesen.</w:t>
      </w:r>
    </w:p>
    <w:p w14:paraId="662B7558" w14:textId="77777777" w:rsidR="00F8557C" w:rsidRDefault="00000000">
      <w:pPr>
        <w:pStyle w:val="Callout"/>
      </w:pPr>
      <w:r>
        <w:t>Beobachtungsfrage vor dem Lesen: „Achtet beim Hören darauf: Wer gibt wem etwas weiter – und was sollen die Hörenden damit tun?“</w:t>
      </w:r>
    </w:p>
    <w:p w14:paraId="2C41A961" w14:textId="77777777" w:rsidR="00F8557C" w:rsidRDefault="00000000">
      <w:pPr>
        <w:pStyle w:val="berschrift2"/>
      </w:pPr>
      <w:r>
        <w:t>5.3 Abschnitt 1 – Der Vorhang geht auf: Gott zeigt Jesus Christus (V. 1a)</w:t>
      </w:r>
    </w:p>
    <w:p w14:paraId="6E0BC41B" w14:textId="77777777" w:rsidR="00F8557C" w:rsidRDefault="00000000">
      <w:r>
        <w:t>Der erste Satz klingt nüchtern, ist aber ein theologisches Programm: „Offenbarung Jesu Christi“. Apokalypsis heißt Enthüllung. Die Offenbarung will nicht zuerst Dinge verschlüsseln, sondern etwas sichtbar machen, das aus menschlicher Perspektive verborgen bleibt.</w:t>
      </w:r>
    </w:p>
    <w:p w14:paraId="546F1FCA" w14:textId="77777777" w:rsidR="00F8557C" w:rsidRDefault="00000000">
      <w:r>
        <w:t>Der Satz nennt eine Bewegung: Gott gibt – Jesus Christus empfängt – damit er den Dienern zeigt. Die Initiative liegt bei Gott. Glaube beginnt hier nicht damit, dass Menschen sich mühsam in den Himmel hineindenken, sondern damit, dass Gott sich mitteilt.</w:t>
      </w:r>
    </w:p>
    <w:p w14:paraId="46237C72" w14:textId="77777777" w:rsidR="00F8557C" w:rsidRDefault="00000000">
      <w:r>
        <w:t>Exegetischer Tiefenpunkt: Die griechische Formulierung kann „Offenbarung von Jesus Christus“ oder „über Jesus Christus“ bedeuten. Der Satz selbst betont zuerst „von Christus“, denn Gott gibt sie ihm zum Weitergeben. Das ganze Buch zeigt zugleich: Jesus ist auch der Inhalt und die Mitte.</w:t>
      </w:r>
    </w:p>
    <w:p w14:paraId="5A6A091D" w14:textId="77777777" w:rsidR="00F8557C" w:rsidRDefault="00000000">
      <w:r>
        <w:t>Beispiel: Wenn im Theater der Vorhang aufgeht, entsteht die Geschichte nicht erst in diesem Moment. Was bisher verborgen war, wird sichtbar. So versteht Johannes „Offenbarung“: Gott zieht den Vorhang auf seine Wirklichkeit ein Stück beiseite.</w:t>
      </w:r>
    </w:p>
    <w:p w14:paraId="30EC865C" w14:textId="77777777" w:rsidR="00F8557C" w:rsidRDefault="00000000">
      <w:r>
        <w:t>Fragen:</w:t>
      </w:r>
    </w:p>
    <w:p w14:paraId="7CEB55AE" w14:textId="77777777" w:rsidR="00F8557C" w:rsidRDefault="00000000">
      <w:pPr>
        <w:pStyle w:val="Aufzhlungszeichen"/>
      </w:pPr>
      <w:r>
        <w:t>Welche Bilder oder Gefühle verbindest du bisher mit dem Wort „Offenbarung“?</w:t>
      </w:r>
    </w:p>
    <w:p w14:paraId="6B42E161" w14:textId="77777777" w:rsidR="00F8557C" w:rsidRDefault="00000000">
      <w:pPr>
        <w:pStyle w:val="Aufzhlungszeichen"/>
      </w:pPr>
      <w:r>
        <w:t>Was verändert sich, wenn „Apokalypse“ zunächst „Enthüllung“ heißt?</w:t>
      </w:r>
    </w:p>
    <w:p w14:paraId="7FCD391A" w14:textId="77777777" w:rsidR="00F8557C" w:rsidRDefault="00000000">
      <w:pPr>
        <w:pStyle w:val="Aufzhlungszeichen"/>
      </w:pPr>
      <w:r>
        <w:t>Was sagt es über Gott, dass er seine Gemeinde nicht im Dunkeln lassen will?</w:t>
      </w:r>
    </w:p>
    <w:p w14:paraId="7F1485D0" w14:textId="77777777" w:rsidR="00F8557C" w:rsidRDefault="00000000">
      <w:pPr>
        <w:pStyle w:val="Aufzhlungszeichen"/>
      </w:pPr>
      <w:r>
        <w:t>Warum ist es wichtig, dass Jesus Christus schon im ersten Satz im Zentrum steht?</w:t>
      </w:r>
    </w:p>
    <w:p w14:paraId="515E8801" w14:textId="77777777" w:rsidR="00F8557C" w:rsidRDefault="00000000">
      <w:pPr>
        <w:pStyle w:val="berschrift2"/>
      </w:pPr>
      <w:r>
        <w:t>5.4 Abschnitt 2 – Keine Geheimpost: Die Botschaft wird weitergegeben (V. 1b–2)</w:t>
      </w:r>
    </w:p>
    <w:p w14:paraId="3294698D" w14:textId="77777777" w:rsidR="00F8557C" w:rsidRDefault="00000000">
      <w:r>
        <w:t>Die Offenbarung hat eine auffällige Übermittlungskette: Gott → Jesus Christus → Engel → Johannes → Diener/Gemeinden. Diese Kette soll nicht Distanz schaffen, sondern Autorität und Verantwortung klären.</w:t>
      </w:r>
    </w:p>
    <w:p w14:paraId="02A2223D" w14:textId="77777777" w:rsidR="00F8557C" w:rsidRDefault="00000000">
      <w:r>
        <w:lastRenderedPageBreak/>
        <w:t>Johannes nennt sich nicht Meister des Geheimwissens. Er ist „Diener“ und „Zeuge“. V. 2 verwendet gleich zweimal Zeugnis-Sprache. Das schützt die Bibelarbeit vor einem typischen Missverständnis der Offenbarung: Johannes lädt uns nicht ein, klüger als alle anderen Codes zu knacken. Er bezeugt, was ihm gezeigt wurde.</w:t>
      </w:r>
    </w:p>
    <w:p w14:paraId="210833BC" w14:textId="77777777" w:rsidR="00F8557C" w:rsidRDefault="00000000">
      <w:r>
        <w:t>Exegetischer Tiefenpunkt: ἐσήμανεν kann „kundtun / anzeigen“ heißen und passt zugleich zur Zeichen- und Bildsprache des Buches. Die Offenbarung kommuniziert viel durch Bilder. Diese Bilder müssen ernst genommen werden, aber sie sind nicht fotografische Vorhersagen.</w:t>
      </w:r>
    </w:p>
    <w:p w14:paraId="52B58844" w14:textId="77777777" w:rsidR="00F8557C" w:rsidRDefault="00000000">
      <w:r>
        <w:t>Beispiel: Bei einer Staffel ist der Stab nicht Eigentum des Läufers. Er wird empfangen und weitergegeben. Johannes ist in diesem Sinn Staffelläufer des Zeugnisses: Er darf nichts erfinden, aber er darf es auch nicht für sich behalten.</w:t>
      </w:r>
    </w:p>
    <w:p w14:paraId="193988CC" w14:textId="77777777" w:rsidR="00F8557C" w:rsidRDefault="00000000">
      <w:r>
        <w:t>Fragen:</w:t>
      </w:r>
    </w:p>
    <w:p w14:paraId="4F41C9C2" w14:textId="77777777" w:rsidR="00F8557C" w:rsidRDefault="00000000">
      <w:pPr>
        <w:pStyle w:val="Aufzhlungszeichen"/>
      </w:pPr>
      <w:r>
        <w:t>Was macht eine Botschaft glaubwürdig: spektakuläre Details oder verlässliche Zeugen?</w:t>
      </w:r>
    </w:p>
    <w:p w14:paraId="29E5F48A" w14:textId="77777777" w:rsidR="00F8557C" w:rsidRDefault="00000000">
      <w:pPr>
        <w:pStyle w:val="Aufzhlungszeichen"/>
      </w:pPr>
      <w:r>
        <w:t>Wo erlebst du in der Gemeinde, dass Glaube „weitergegeben“ wird?</w:t>
      </w:r>
    </w:p>
    <w:p w14:paraId="75E31C89" w14:textId="77777777" w:rsidR="00F8557C" w:rsidRDefault="00000000">
      <w:pPr>
        <w:pStyle w:val="Aufzhlungszeichen"/>
      </w:pPr>
      <w:r>
        <w:t>Was könnte es für unsere Bibellektüre bedeuten, dass Johannes Zeuge und nicht Rätselmeister ist?</w:t>
      </w:r>
    </w:p>
    <w:p w14:paraId="24CA9BC6" w14:textId="77777777" w:rsidR="00F8557C" w:rsidRDefault="00000000">
      <w:pPr>
        <w:pStyle w:val="Aufzhlungszeichen"/>
      </w:pPr>
      <w:r>
        <w:t>Wie können Bilder Wahrheit sagen, ohne dass jedes Bild wörtlich gemeint sein muss?</w:t>
      </w:r>
    </w:p>
    <w:p w14:paraId="0BC6B2E8" w14:textId="77777777" w:rsidR="00F8557C" w:rsidRDefault="00000000">
      <w:pPr>
        <w:pStyle w:val="berschrift2"/>
      </w:pPr>
      <w:r>
        <w:t>5.5 Abschnitt 3 – Lesen, hören, bewahren: Die Seligpreisung (V. 3)</w:t>
      </w:r>
    </w:p>
    <w:p w14:paraId="60CA15B1" w14:textId="77777777" w:rsidR="00F8557C" w:rsidRDefault="00000000">
      <w:r>
        <w:t>Der erste ausdrücklich bewertende Satz der Offenbarung ist überraschend: „Selig ...“. Das Buch eröffnet seine Wirkung nicht mit „Fürchtet euch!“, sondern mit einem Zuspruch.</w:t>
      </w:r>
    </w:p>
    <w:p w14:paraId="43AF15F8" w14:textId="77777777" w:rsidR="00F8557C" w:rsidRDefault="00000000">
      <w:r>
        <w:t>Der Singular „der Vorlesende“ und der Plural „die Hörenden“ lassen eine Gemeinde vor Augen treten: Einer liest, viele hören. Die Offenbarung ist als Gemeindetext gedacht. Sie gehört nicht in die Privatkammer eines Spezialisten.</w:t>
      </w:r>
    </w:p>
    <w:p w14:paraId="2EEAAFCC" w14:textId="77777777" w:rsidR="00F8557C" w:rsidRDefault="00000000">
      <w:r>
        <w:t>Aber Hören allein reicht nicht. τηρεῖν heißt bewahren, festhalten, befolgen. Die Offenbarung will Lebenshaltung verändern. Prophetie ist hier nicht nur Vorhersage, sondern Gotteswort, das die Gegenwart beurteilt und Menschen zur Treue ruft.</w:t>
      </w:r>
    </w:p>
    <w:p w14:paraId="7C6703BE" w14:textId="77777777" w:rsidR="00F8557C" w:rsidRDefault="00000000">
      <w:r>
        <w:t>„Denn die Zeit ist nahe“ ist keine Einladung zu Terminrechnungen. Johannes erzeugt Dringlichkeit: Gottes Wirklichkeit ist nicht fern und irrelevant. Darum zählt, wie wir jetzt leben.</w:t>
      </w:r>
    </w:p>
    <w:p w14:paraId="170779AD" w14:textId="77777777" w:rsidR="00F8557C" w:rsidRDefault="00000000">
      <w:r>
        <w:t>Beispiel: Eine gute Wegbeschreibung hilft nur, wenn man sie nicht bloß interessant findet, sondern sich tatsächlich danach orientiert. Die Offenbarung will keine Landkarte für neugierige Zuschauer sein, sondern Orientierung für Menschen unterwegs.</w:t>
      </w:r>
    </w:p>
    <w:p w14:paraId="14D399D2" w14:textId="77777777" w:rsidR="00F8557C" w:rsidRDefault="00000000">
      <w:r>
        <w:t>Fragen:</w:t>
      </w:r>
    </w:p>
    <w:p w14:paraId="14C0DB11" w14:textId="77777777" w:rsidR="00F8557C" w:rsidRDefault="00000000">
      <w:pPr>
        <w:pStyle w:val="Aufzhlungszeichen"/>
      </w:pPr>
      <w:r>
        <w:t>Warum beginnt Johannes mit einer Seligpreisung – was macht das mit unserem Bild der Offenbarung?</w:t>
      </w:r>
    </w:p>
    <w:p w14:paraId="45A0E37B" w14:textId="77777777" w:rsidR="00F8557C" w:rsidRDefault="00000000">
      <w:pPr>
        <w:pStyle w:val="Aufzhlungszeichen"/>
      </w:pPr>
      <w:r>
        <w:t>Was ist der Unterschied zwischen Hören und Bewahren?</w:t>
      </w:r>
    </w:p>
    <w:p w14:paraId="4843CA63" w14:textId="77777777" w:rsidR="00F8557C" w:rsidRDefault="00000000">
      <w:pPr>
        <w:pStyle w:val="Aufzhlungszeichen"/>
      </w:pPr>
      <w:r>
        <w:t>Wo ist christlicher Glaube bei uns eher Information als Orientierung?</w:t>
      </w:r>
    </w:p>
    <w:p w14:paraId="6BB81699" w14:textId="77777777" w:rsidR="00F8557C" w:rsidRDefault="00000000">
      <w:pPr>
        <w:pStyle w:val="Aufzhlungszeichen"/>
      </w:pPr>
      <w:r>
        <w:t>Wie kann „die Zeit ist nahe“ wach machen, ohne Angst zu produzieren?</w:t>
      </w:r>
    </w:p>
    <w:p w14:paraId="1047D53C" w14:textId="77777777" w:rsidR="00F8557C" w:rsidRDefault="00000000">
      <w:pPr>
        <w:pStyle w:val="Aufzhlungszeichen"/>
      </w:pPr>
      <w:r>
        <w:t>Was möchtest du aus diesem ersten Abend tatsächlich „bewahren“?</w:t>
      </w:r>
    </w:p>
    <w:p w14:paraId="2ECC16C5" w14:textId="77777777" w:rsidR="00F8557C" w:rsidRDefault="00000000">
      <w:pPr>
        <w:pStyle w:val="berschrift2"/>
      </w:pPr>
      <w:r>
        <w:t>5.6 Dialogische Vertiefung – Vier Sätze im Raum</w:t>
      </w:r>
    </w:p>
    <w:p w14:paraId="66925157" w14:textId="77777777" w:rsidR="00F8557C" w:rsidRDefault="00000000">
      <w:r>
        <w:t>Lege vier Blätter in vier Raumecken. Auf jedem steht ein Satz:</w:t>
      </w:r>
    </w:p>
    <w:p w14:paraId="16476547" w14:textId="77777777" w:rsidR="00F8557C" w:rsidRDefault="00000000">
      <w:r>
        <w:t>1. „Die Offenbarung ist vor allem ein Zukunftsfahrplan.“</w:t>
      </w:r>
    </w:p>
    <w:p w14:paraId="4C051322" w14:textId="77777777" w:rsidR="00F8557C" w:rsidRDefault="00000000">
      <w:r>
        <w:t>2. „Die Offenbarung ist vor allem eine Enthüllung Jesu Christi.“</w:t>
      </w:r>
    </w:p>
    <w:p w14:paraId="79BBDDFC" w14:textId="77777777" w:rsidR="00F8557C" w:rsidRDefault="00000000">
      <w:r>
        <w:t>3. „Die Offenbarung ist vor allem Trost und Widerstand gegen falsche Mächte.“</w:t>
      </w:r>
    </w:p>
    <w:p w14:paraId="373FF632" w14:textId="77777777" w:rsidR="00F8557C" w:rsidRDefault="00000000">
      <w:r>
        <w:t>4. „Die Offenbarung ist Prophetie, die mein Leben heute verändern will.“</w:t>
      </w:r>
    </w:p>
    <w:p w14:paraId="2BD4BA80" w14:textId="77777777" w:rsidR="00F8557C" w:rsidRDefault="00000000">
      <w:r>
        <w:lastRenderedPageBreak/>
        <w:t>Die Teilnehmenden stellen sich zu dem Satz, der ihnen nach Offb 1,1–3 am nächsten liegt. In Kleingruppen jeweils zwei Minuten: Warum stehe ich hier? Danach kurze Rückmeldungen. Zum Schluss darf gewechselt werden. Leiterhinweis: Satz 2 und 4 liegen dem Prolog am nächsten; Satz 3 entfaltet sich im Gesamtbuch; Satz 1 ist zu eng und wird bewusst kritisch angeboten.</w:t>
      </w:r>
    </w:p>
    <w:p w14:paraId="1B038E47" w14:textId="77777777" w:rsidR="00F8557C" w:rsidRDefault="00000000">
      <w:pPr>
        <w:pStyle w:val="berschrift2"/>
      </w:pPr>
      <w:r>
        <w:t>5.7 Kurzandacht – „Der erste Blick gilt Christus“</w:t>
      </w:r>
    </w:p>
    <w:p w14:paraId="72760219" w14:textId="77777777" w:rsidR="00F8557C" w:rsidRDefault="00000000">
      <w:r>
        <w:t>Wer das Wort „Offenbarung“ hört, denkt schnell an Katastrophen. Johannes setzt einen anderen Anfang. Das erste Wort bedeutet Enthüllung. Und das erste Gesicht, das in dieser Enthüllung wichtig wird, ist Jesus Christus.</w:t>
      </w:r>
    </w:p>
    <w:p w14:paraId="343B5DC9" w14:textId="77777777" w:rsidR="00F8557C" w:rsidRDefault="00000000">
      <w:r>
        <w:t>Das ist mehr als eine sprachliche Feinheit. Es verändert, wie wir dieses Buch lesen. Nicht unsere Angst öffnet die Zukunft. Nicht unsere Fähigkeit, geheime Zahlen zu entschlüsseln. Gott selbst macht etwas sichtbar. Er gibt die Botschaft an Christus, Christus lässt sie weitergeben, Johannes bezeugt sie, und eine Gemeinde hört.</w:t>
      </w:r>
    </w:p>
    <w:p w14:paraId="6489C6A7" w14:textId="77777777" w:rsidR="00F8557C" w:rsidRDefault="00000000">
      <w:r>
        <w:t>Und dann kommt schon die erste Seligpreisung. Selig sind nicht die, die den besten Endzeitplan zeichnen. Selig sind die, die lesen, hören und bewahren. Die Offenbarung will also nicht aus uns Zuschauer machen, sondern Menschen, die Christus vertrauen und ihm treu bleiben.</w:t>
      </w:r>
    </w:p>
    <w:p w14:paraId="1496DE52" w14:textId="77777777" w:rsidR="00F8557C" w:rsidRDefault="00000000">
      <w:r>
        <w:t>Darum ist der erste Abend dieser Bibelwoche eine kleine Kurskorrektur: Bevor der Drache auftaucht, steht Christus da. Bevor von Gericht die Rede ist, spricht Gott. Bevor wir etwas verstehen müssen, schenkt Gott Offenbarung. Wir dürfen dieses Buch mit offenen Augen lesen – aber nicht mit Angst, sondern mit dem Blick auf Jesus Christus.</w:t>
      </w:r>
    </w:p>
    <w:p w14:paraId="7ADBA79B" w14:textId="77777777" w:rsidR="00F8557C" w:rsidRDefault="00000000">
      <w:pPr>
        <w:pStyle w:val="berschrift2"/>
      </w:pPr>
      <w:r>
        <w:t>5.8 Abschluss</w:t>
      </w:r>
    </w:p>
    <w:p w14:paraId="57B9F1DF" w14:textId="77777777" w:rsidR="00F8557C" w:rsidRDefault="00000000">
      <w:r>
        <w:t>Greife noch einmal das Bild vom Vorhang auf: „Was war hinter dem Wort Apokalypse für dich bisher verborgen – und was ist heute sichtbar geworden?“</w:t>
      </w:r>
    </w:p>
    <w:p w14:paraId="1380EEED" w14:textId="77777777" w:rsidR="00F8557C" w:rsidRDefault="00000000">
      <w:r>
        <w:t>Drei Abschlussfragen:</w:t>
      </w:r>
    </w:p>
    <w:p w14:paraId="545AB7B0" w14:textId="77777777" w:rsidR="00F8557C" w:rsidRDefault="00000000">
      <w:pPr>
        <w:pStyle w:val="Aufzhlungszeichen"/>
      </w:pPr>
      <w:r>
        <w:t>Persönlich: Was nehme ich heute über die Offenbarung neu mit?</w:t>
      </w:r>
    </w:p>
    <w:p w14:paraId="3745C09E" w14:textId="77777777" w:rsidR="00F8557C" w:rsidRDefault="00000000">
      <w:pPr>
        <w:pStyle w:val="Aufzhlungszeichen"/>
      </w:pPr>
      <w:r>
        <w:t>Glauben: Was entdecke ich über Gott und Jesus Christus neu?</w:t>
      </w:r>
    </w:p>
    <w:p w14:paraId="09FB3389" w14:textId="77777777" w:rsidR="00F8557C" w:rsidRDefault="00000000">
      <w:pPr>
        <w:pStyle w:val="Aufzhlungszeichen"/>
      </w:pPr>
      <w:r>
        <w:t>Handeln: Was heißt für mich in dieser Woche „hören und bewahren“?</w:t>
      </w:r>
    </w:p>
    <w:p w14:paraId="04F4C2D9" w14:textId="77777777" w:rsidR="00F8557C" w:rsidRDefault="00000000">
      <w:r>
        <w:t>Gebetsimpuls: „Jesus Christus, öffne uns die Augen für Gottes Wirklichkeit. Bewahre uns vor Angst und vor spekulativer Neugier. Lass dein Wort in uns nicht nur gehört, sondern bewahrt werden. Amen.“</w:t>
      </w:r>
    </w:p>
    <w:p w14:paraId="3CE3BB86" w14:textId="77777777" w:rsidR="00F8557C" w:rsidRDefault="00000000">
      <w:pPr>
        <w:pStyle w:val="berschrift1"/>
      </w:pPr>
      <w:r>
        <w:t>6. Kurze alternative Einsatzformen und Reihenkontext</w:t>
      </w:r>
    </w:p>
    <w:p w14:paraId="079DE278" w14:textId="77777777" w:rsidR="00F8557C" w:rsidRDefault="00000000">
      <w:pPr>
        <w:pStyle w:val="berschrift2"/>
      </w:pPr>
      <w:r>
        <w:t>6.1 Kurzandacht (5–7 Minuten)</w:t>
      </w:r>
    </w:p>
    <w:p w14:paraId="4F05C074" w14:textId="77777777" w:rsidR="00F8557C" w:rsidRDefault="00000000">
      <w:r>
        <w:t>Konzentriere dich auf drei Bewegungen: (1) Apokalypse heißt Enthüllung, nicht Katastrophe. (2) Die Enthüllung kommt von Gott durch Jesus Christus. (3) Selig sind nicht die Codeknacker, sondern die Hörenden und Bewahrenden. Schlussfrage: „Was möchtest du heute von Christus her neu sehen?“</w:t>
      </w:r>
    </w:p>
    <w:p w14:paraId="2AB4F816" w14:textId="77777777" w:rsidR="00F8557C" w:rsidRDefault="00000000">
      <w:pPr>
        <w:pStyle w:val="berschrift2"/>
      </w:pPr>
      <w:r>
        <w:t>6.2 Kleingruppe (4–8 Personen)</w:t>
      </w:r>
    </w:p>
    <w:p w14:paraId="7B9E2494" w14:textId="77777777" w:rsidR="00F8557C" w:rsidRDefault="00000000">
      <w:r>
        <w:t>Lies Offb 1,1–3 zweimal. Beim ersten Mal markieren alle Personen/Empfänger; beim zweiten Mal alle Verben. Danach: Was tut Gott? Was tut Christus? Was tut Johannes? Was tun Leser und Hörer? Methode: Auf einem Blatt die Übermittlungskette als Pfeile zeichnen und am Ende das Wort „bewahren“ einkreisen.</w:t>
      </w:r>
    </w:p>
    <w:p w14:paraId="7CEE31A1" w14:textId="77777777" w:rsidR="00F8557C" w:rsidRDefault="00000000">
      <w:pPr>
        <w:pStyle w:val="berschrift2"/>
      </w:pPr>
      <w:r>
        <w:lastRenderedPageBreak/>
        <w:t>6.3 Größere dialogische Gruppe</w:t>
      </w:r>
    </w:p>
    <w:p w14:paraId="58F2F508" w14:textId="77777777" w:rsidR="00F8557C" w:rsidRDefault="00000000">
      <w:r>
        <w:t>Nutze die Vier-Sätze-Positionierung aus 5.6. Lass aus jeder Ecke einen Satz formulieren: „Wir stehen hier, weil ...“. Nach der Textarbeit wird erneut positioniert. So wird sichtbar, ob und wie der Text Vorverständnisse verändert.</w:t>
      </w:r>
    </w:p>
    <w:p w14:paraId="7BAF245F" w14:textId="77777777" w:rsidR="00F8557C" w:rsidRDefault="00000000">
      <w:pPr>
        <w:pStyle w:val="berschrift2"/>
      </w:pPr>
      <w:r>
        <w:t>6.4 Einordnung in die Bibelwoche</w:t>
      </w:r>
    </w:p>
    <w:p w14:paraId="09134301" w14:textId="77777777" w:rsidR="00F8557C" w:rsidRDefault="00000000">
      <w:r>
        <w:t>Als erster Abend setzt Offb 1,1–3 die Lesebrille für die ganze Reihe: Nicht der Drache definiert die Wirklichkeit, sondern Gottes Offenbarung in Jesus Christus. Der folgende Abend (Offb 7) kann daran anschließen: Wenn Gott seine Gemeinde sehen und hören lässt – wie zeigt er dann, dass seine Menschen in Bedrängnis zu ihm gehören und von ihm gekannt sind?</w:t>
      </w:r>
    </w:p>
    <w:p w14:paraId="42FE45D2" w14:textId="77777777" w:rsidR="00F8557C" w:rsidRDefault="00000000">
      <w:pPr>
        <w:pStyle w:val="berschrift1"/>
      </w:pPr>
      <w:r>
        <w:t>7. Zweifache Qualitätskontrolle</w:t>
      </w:r>
    </w:p>
    <w:p w14:paraId="2FC95591" w14:textId="77777777" w:rsidR="00F8557C" w:rsidRDefault="00000000">
      <w:pPr>
        <w:pStyle w:val="berschrift2"/>
      </w:pPr>
      <w:r>
        <w:t>Prüfdurchgang 1 – Bestand/Vollständigkeit</w:t>
      </w:r>
    </w:p>
    <w:p w14:paraId="59E47211" w14:textId="77777777" w:rsidR="00F8557C" w:rsidRDefault="00000000">
      <w:r>
        <w:t>Geprüft: Textabgrenzung, Aufbau, Übersetzungsvergleich, Textkritik, Urtext, historischer und biblischer Kontext, Intertextualität, versweise Exegese, vorläufige Landkarte, Webrecherche, WiBiLex, WiReLex, Kommentare, Monographien/Fachaufsätze, Forschungsvergleich, Korrekturphase, Endsyntese, beide Skopoi, Gemeindebrücke, drei Abschnitte, Dialogmethode, Kurzandacht, Schlussfragen, Reihenkontext, Quellen und Teilnehmerblatt. Ergebnis: vollständig für die aktuelle Einheit.</w:t>
      </w:r>
    </w:p>
    <w:p w14:paraId="2BF8E093" w14:textId="77777777" w:rsidR="00F8557C" w:rsidRDefault="00000000">
      <w:pPr>
        <w:pStyle w:val="berschrift2"/>
      </w:pPr>
      <w:r>
        <w:t>Prüfdurchgang 2 – Funktion/Qualität</w:t>
      </w:r>
    </w:p>
    <w:p w14:paraId="05CC3E8C" w14:textId="77777777" w:rsidR="00F8557C" w:rsidRDefault="00000000">
      <w:r>
        <w:t>Geprüft: Urtextbegriffe kontextbezogen; Textkritik nicht übergewichtet; Daniel-Bezug begründet; historische Verfolgungsannahmen differenziert; Gegenpositionen zur Genitivfrage und zur Naherwartung fair dargestellt; Quellenstatus markiert; keine Gleichsetzung apokalyptischer Gestalten mit heutigen Personen; Bibelarbeit christologisch, evangeliumsgemäß, verständlich, dialogisch und ohne Angstpädagogik. Ergebnis: funktionsfähig.</w:t>
      </w:r>
    </w:p>
    <w:p w14:paraId="07883DDB" w14:textId="77777777" w:rsidR="00F8557C" w:rsidRDefault="00000000">
      <w:r>
        <w:t>Korrektur aus der Prüfung: ἐσήμανεν wird nicht mehr als Beweis dafür formuliert, dass „alles symbolisch“ sei, sondern als verbaler Hinweis, der zusammen mit Daniel-Hintergrund und Gesamtgestalt des Buches zur Zeichenkommunikation passt. Ebenso wird „in Kürze“ nicht harmonisierend abgeschwächt.</w:t>
      </w:r>
    </w:p>
    <w:p w14:paraId="10B9A87E" w14:textId="77777777" w:rsidR="00F8557C" w:rsidRDefault="00000000">
      <w:pPr>
        <w:pStyle w:val="berschrift1"/>
      </w:pPr>
      <w:r>
        <w:t>8. Literatur und Onlinequellen</w:t>
      </w:r>
    </w:p>
    <w:p w14:paraId="3D81AA83" w14:textId="77777777" w:rsidR="00F8557C" w:rsidRDefault="00000000">
      <w:pPr>
        <w:spacing w:after="50" w:line="240" w:lineRule="auto"/>
      </w:pPr>
      <w:r>
        <w:rPr>
          <w:sz w:val="19"/>
        </w:rPr>
        <w:t>Hinweis zum Quellenstatus: Nur tatsächlich zugängliche Inhalte wurden inhaltlich ausgewertet. Bei Verlagsseiten, Abstracts und Buchvorschauen wird dies ausdrücklich kenntlich gemacht. Zugriff: 13.09.2026. Quellenkritischer Hinweis: Nicht alle Standardkommentare waren im Volltext frei zugänglich; Aussagen aus Aune, Osborne, Koester und Bauckham wurden nur soweit verwendet, wie Vorschauen, Verlagsinformationen, Abstracts oder zugängliche Auszüge dies tragen. Nicht eingesehene Detailargumente oder Seitenangaben wurden nicht ergänzt.</w:t>
      </w:r>
    </w:p>
    <w:p w14:paraId="32773B08" w14:textId="77777777" w:rsidR="00F8557C" w:rsidRDefault="00000000">
      <w:pPr>
        <w:spacing w:after="50" w:line="240" w:lineRule="auto"/>
      </w:pPr>
      <w:r>
        <w:rPr>
          <w:b/>
          <w:sz w:val="19"/>
        </w:rPr>
        <w:t xml:space="preserve">Aune, David E.: </w:t>
      </w:r>
      <w:r>
        <w:rPr>
          <w:sz w:val="19"/>
        </w:rPr>
        <w:t xml:space="preserve">Revelation 1–5. Word Biblical Commentary 52A. Dallas: Word Books, 1997. Google-Books-/Buchvorschau und Gliederung konsultiert. </w:t>
      </w:r>
      <w:hyperlink r:id="rId8">
        <w:r>
          <w:rPr>
            <w:color w:val="4F6F63"/>
            <w:u w:val="single"/>
          </w:rPr>
          <w:t>Online</w:t>
        </w:r>
      </w:hyperlink>
    </w:p>
    <w:p w14:paraId="23207AC6" w14:textId="77777777" w:rsidR="00F8557C" w:rsidRDefault="00000000">
      <w:pPr>
        <w:spacing w:after="50" w:line="240" w:lineRule="auto"/>
      </w:pPr>
      <w:r>
        <w:rPr>
          <w:b/>
          <w:sz w:val="19"/>
        </w:rPr>
        <w:t xml:space="preserve">Bauckham, Richard: </w:t>
      </w:r>
      <w:r>
        <w:rPr>
          <w:sz w:val="19"/>
        </w:rPr>
        <w:t xml:space="preserve">The Theology of the Book of Revelation. Cambridge: Cambridge University Press, 1993. Google Books / Cambridge-Abstract konsultiert. </w:t>
      </w:r>
      <w:hyperlink r:id="rId9">
        <w:r>
          <w:rPr>
            <w:color w:val="4F6F63"/>
            <w:u w:val="single"/>
          </w:rPr>
          <w:t>Online</w:t>
        </w:r>
      </w:hyperlink>
    </w:p>
    <w:p w14:paraId="3012C1BE" w14:textId="77777777" w:rsidR="00F8557C" w:rsidRDefault="00000000">
      <w:pPr>
        <w:spacing w:after="50" w:line="240" w:lineRule="auto"/>
      </w:pPr>
      <w:r>
        <w:rPr>
          <w:b/>
          <w:sz w:val="19"/>
        </w:rPr>
        <w:t xml:space="preserve">Böttrich, Christfried: </w:t>
      </w:r>
      <w:r>
        <w:rPr>
          <w:sz w:val="19"/>
        </w:rPr>
        <w:t xml:space="preserve">„Apokalyptik (NT)“. WiBiLex, 2014. Existenz/Metadaten verifiziert; automatischer Direktabruf teilweise blockiert. </w:t>
      </w:r>
      <w:hyperlink r:id="rId10">
        <w:r>
          <w:rPr>
            <w:color w:val="4F6F63"/>
            <w:u w:val="single"/>
          </w:rPr>
          <w:t>Online</w:t>
        </w:r>
      </w:hyperlink>
    </w:p>
    <w:p w14:paraId="5A9F5842" w14:textId="77777777" w:rsidR="00F8557C" w:rsidRDefault="00000000">
      <w:pPr>
        <w:spacing w:after="50" w:line="240" w:lineRule="auto"/>
      </w:pPr>
      <w:r>
        <w:rPr>
          <w:b/>
          <w:sz w:val="19"/>
        </w:rPr>
        <w:t xml:space="preserve">Carter, Warren: </w:t>
      </w:r>
      <w:r>
        <w:rPr>
          <w:sz w:val="19"/>
        </w:rPr>
        <w:t xml:space="preserve">“Revelation and Roman Rule in First-Century Asia Minor.” In The Oxford Handbook of the Book of Revelation, hg. Craig R. Koester, 132–151. Oxford University Press, 2020. Abstract konsultiert. </w:t>
      </w:r>
      <w:hyperlink r:id="rId11">
        <w:r>
          <w:rPr>
            <w:color w:val="4F6F63"/>
            <w:u w:val="single"/>
          </w:rPr>
          <w:t>Online</w:t>
        </w:r>
      </w:hyperlink>
    </w:p>
    <w:p w14:paraId="2E09CBB2" w14:textId="77777777" w:rsidR="00F8557C" w:rsidRDefault="00000000">
      <w:pPr>
        <w:spacing w:after="50" w:line="240" w:lineRule="auto"/>
      </w:pPr>
      <w:r>
        <w:rPr>
          <w:b/>
          <w:sz w:val="19"/>
        </w:rPr>
        <w:t xml:space="preserve">Deutsche Bibelgesellschaft: </w:t>
      </w:r>
      <w:r>
        <w:rPr>
          <w:sz w:val="19"/>
        </w:rPr>
        <w:t xml:space="preserve">Offenbarung 1 in Lutherbibel 2017, BasisBibel und Einheitsübersetzung; Bibelkunde zur Offenbarung. Online konsultiert. </w:t>
      </w:r>
      <w:hyperlink r:id="rId12">
        <w:r>
          <w:rPr>
            <w:color w:val="4F6F63"/>
            <w:u w:val="single"/>
          </w:rPr>
          <w:t>Online</w:t>
        </w:r>
      </w:hyperlink>
    </w:p>
    <w:p w14:paraId="48D83ED6" w14:textId="77777777" w:rsidR="00F8557C" w:rsidRDefault="00000000">
      <w:pPr>
        <w:spacing w:after="50" w:line="240" w:lineRule="auto"/>
      </w:pPr>
      <w:r>
        <w:rPr>
          <w:b/>
          <w:sz w:val="19"/>
        </w:rPr>
        <w:t xml:space="preserve">Friesen, Steven J.: </w:t>
      </w:r>
      <w:r>
        <w:rPr>
          <w:sz w:val="19"/>
        </w:rPr>
        <w:t xml:space="preserve">“Satan’s Throne, Imperial Cults and the Social Settings of Revelation.” Journal for the Study of the New Testament 27/3 (2005). Abstract konsultiert. </w:t>
      </w:r>
      <w:hyperlink r:id="rId13">
        <w:r>
          <w:rPr>
            <w:color w:val="4F6F63"/>
            <w:u w:val="single"/>
          </w:rPr>
          <w:t>Online</w:t>
        </w:r>
      </w:hyperlink>
    </w:p>
    <w:p w14:paraId="2AEF630C" w14:textId="77777777" w:rsidR="00F8557C" w:rsidRDefault="00000000">
      <w:pPr>
        <w:spacing w:after="50" w:line="240" w:lineRule="auto"/>
      </w:pPr>
      <w:r>
        <w:rPr>
          <w:b/>
          <w:sz w:val="19"/>
        </w:rPr>
        <w:lastRenderedPageBreak/>
        <w:t xml:space="preserve">Friesen, Steven J.: </w:t>
      </w:r>
      <w:r>
        <w:rPr>
          <w:sz w:val="19"/>
        </w:rPr>
        <w:t xml:space="preserve">Imperial Cults and the Apocalypse of John: Reading Revelation in the Ruins. Oxford University Press, 2001. Abstract/Verlagsinformation konsultiert. </w:t>
      </w:r>
      <w:hyperlink r:id="rId14">
        <w:r>
          <w:rPr>
            <w:color w:val="4F6F63"/>
            <w:u w:val="single"/>
          </w:rPr>
          <w:t>Online</w:t>
        </w:r>
      </w:hyperlink>
    </w:p>
    <w:p w14:paraId="3CB78BE4" w14:textId="77777777" w:rsidR="00F8557C" w:rsidRDefault="00000000">
      <w:pPr>
        <w:spacing w:after="50" w:line="240" w:lineRule="auto"/>
      </w:pPr>
      <w:r>
        <w:rPr>
          <w:b/>
          <w:sz w:val="19"/>
        </w:rPr>
        <w:t xml:space="preserve">García Ureña, Lourdes: </w:t>
      </w:r>
      <w:r>
        <w:rPr>
          <w:sz w:val="19"/>
        </w:rPr>
        <w:t xml:space="preserve">“El estilo oral y los rostros de Dios en el Apocalipsis.” Cuadernos de Filología Clásica 24 (2014): 177–203. Abstract konsultiert. </w:t>
      </w:r>
      <w:hyperlink r:id="rId15">
        <w:r>
          <w:rPr>
            <w:color w:val="4F6F63"/>
            <w:u w:val="single"/>
          </w:rPr>
          <w:t>Online</w:t>
        </w:r>
      </w:hyperlink>
    </w:p>
    <w:p w14:paraId="687E7D12" w14:textId="77777777" w:rsidR="00F8557C" w:rsidRDefault="00000000">
      <w:pPr>
        <w:spacing w:after="50" w:line="240" w:lineRule="auto"/>
      </w:pPr>
      <w:r>
        <w:rPr>
          <w:b/>
          <w:sz w:val="19"/>
        </w:rPr>
        <w:t xml:space="preserve">Kaphengst, Christian: </w:t>
      </w:r>
      <w:r>
        <w:rPr>
          <w:sz w:val="19"/>
        </w:rPr>
        <w:t xml:space="preserve">„Apokalyptik“. WiReLex, 2026. Artikel im WiReLex-Index und über fachliche Zusammenfassung verifiziert. </w:t>
      </w:r>
      <w:hyperlink r:id="rId16">
        <w:r>
          <w:rPr>
            <w:color w:val="4F6F63"/>
            <w:u w:val="single"/>
          </w:rPr>
          <w:t>Online</w:t>
        </w:r>
      </w:hyperlink>
    </w:p>
    <w:p w14:paraId="5791142C" w14:textId="77777777" w:rsidR="00F8557C" w:rsidRDefault="00000000">
      <w:pPr>
        <w:spacing w:after="50" w:line="240" w:lineRule="auto"/>
      </w:pPr>
      <w:r>
        <w:rPr>
          <w:b/>
          <w:sz w:val="19"/>
        </w:rPr>
        <w:t xml:space="preserve">Koester, Craig R.: </w:t>
      </w:r>
      <w:r>
        <w:rPr>
          <w:sz w:val="19"/>
        </w:rPr>
        <w:t xml:space="preserve">Revelation: A New Translation with Introduction and Commentary. Anchor Yale Bible 38A. New Haven: Yale University Press, 2014. Verlagsinformation konsultiert. </w:t>
      </w:r>
      <w:hyperlink r:id="rId17">
        <w:r>
          <w:rPr>
            <w:color w:val="4F6F63"/>
            <w:u w:val="single"/>
          </w:rPr>
          <w:t>Online</w:t>
        </w:r>
      </w:hyperlink>
    </w:p>
    <w:p w14:paraId="73BFC6C1" w14:textId="77777777" w:rsidR="00F8557C" w:rsidRDefault="00000000">
      <w:pPr>
        <w:spacing w:after="50" w:line="240" w:lineRule="auto"/>
      </w:pPr>
      <w:r>
        <w:rPr>
          <w:b/>
          <w:sz w:val="19"/>
        </w:rPr>
        <w:t xml:space="preserve">Koester, Craig R. (Hg.): </w:t>
      </w:r>
      <w:r>
        <w:rPr>
          <w:sz w:val="19"/>
        </w:rPr>
        <w:t xml:space="preserve">The Oxford Handbook of the Book of Revelation. Oxford University Press, 2020. Inhaltsübersicht und Kapitelabstracts konsultiert. </w:t>
      </w:r>
      <w:hyperlink r:id="rId18">
        <w:r>
          <w:rPr>
            <w:color w:val="4F6F63"/>
            <w:u w:val="single"/>
          </w:rPr>
          <w:t>Online</w:t>
        </w:r>
      </w:hyperlink>
    </w:p>
    <w:p w14:paraId="1F38D419" w14:textId="77777777" w:rsidR="00F8557C" w:rsidRDefault="00000000">
      <w:pPr>
        <w:spacing w:after="50" w:line="240" w:lineRule="auto"/>
      </w:pPr>
      <w:r>
        <w:rPr>
          <w:b/>
          <w:sz w:val="19"/>
        </w:rPr>
        <w:t xml:space="preserve">Moyise, Steve: </w:t>
      </w:r>
      <w:r>
        <w:rPr>
          <w:sz w:val="19"/>
        </w:rPr>
        <w:t xml:space="preserve">“The Old Testament in the Book of Revelation.” In The Oxford Handbook of the Book of Revelation, 84–100. Oxford University Press, 2020. Abstract konsultiert. </w:t>
      </w:r>
      <w:hyperlink r:id="rId19">
        <w:r>
          <w:rPr>
            <w:color w:val="4F6F63"/>
            <w:u w:val="single"/>
          </w:rPr>
          <w:t>Online</w:t>
        </w:r>
      </w:hyperlink>
    </w:p>
    <w:p w14:paraId="622D91D4" w14:textId="77777777" w:rsidR="00F8557C" w:rsidRDefault="00000000">
      <w:pPr>
        <w:spacing w:after="50" w:line="240" w:lineRule="auto"/>
      </w:pPr>
      <w:r>
        <w:rPr>
          <w:b/>
          <w:sz w:val="19"/>
        </w:rPr>
        <w:t xml:space="preserve">Osborne, Grant R.: </w:t>
      </w:r>
      <w:r>
        <w:rPr>
          <w:sz w:val="19"/>
        </w:rPr>
        <w:t xml:space="preserve">Revelation. Baker Exegetical Commentary on the New Testament. Grand Rapids: Baker Academic, 2002. Zugänglicher Textauszug zu Offb 1,1 konsultiert. </w:t>
      </w:r>
      <w:hyperlink r:id="rId20">
        <w:r>
          <w:rPr>
            <w:color w:val="4F6F63"/>
            <w:u w:val="single"/>
          </w:rPr>
          <w:t>Online</w:t>
        </w:r>
      </w:hyperlink>
    </w:p>
    <w:p w14:paraId="09406E8D" w14:textId="77777777" w:rsidR="00F8557C" w:rsidRDefault="00000000">
      <w:pPr>
        <w:spacing w:after="50" w:line="240" w:lineRule="auto"/>
      </w:pPr>
      <w:r>
        <w:rPr>
          <w:b/>
          <w:sz w:val="19"/>
        </w:rPr>
        <w:t xml:space="preserve">Slater, Thomas B.: </w:t>
      </w:r>
      <w:r>
        <w:rPr>
          <w:sz w:val="19"/>
        </w:rPr>
        <w:t xml:space="preserve">“On the Social Setting of the Revelation to John.” New Testament Studies 44 (1998; online 2009). Cambridge-Core-Extract konsultiert. </w:t>
      </w:r>
      <w:hyperlink r:id="rId21">
        <w:r>
          <w:rPr>
            <w:color w:val="4F6F63"/>
            <w:u w:val="single"/>
          </w:rPr>
          <w:t>Online</w:t>
        </w:r>
      </w:hyperlink>
    </w:p>
    <w:p w14:paraId="07DDC65B" w14:textId="77777777" w:rsidR="00F8557C" w:rsidRDefault="00000000">
      <w:pPr>
        <w:spacing w:after="50" w:line="240" w:lineRule="auto"/>
      </w:pPr>
      <w:r>
        <w:rPr>
          <w:b/>
          <w:sz w:val="19"/>
        </w:rPr>
        <w:t xml:space="preserve">NET Bible: </w:t>
      </w:r>
      <w:r>
        <w:rPr>
          <w:sz w:val="19"/>
        </w:rPr>
        <w:t xml:space="preserve">Translation Notes zu Revelation 1:1 und 1:3 (Genitiv, öffentliches Vorlesen, „keep“). Ergänzende sprachliche Ressource. </w:t>
      </w:r>
      <w:hyperlink r:id="rId22">
        <w:r>
          <w:rPr>
            <w:color w:val="4F6F63"/>
            <w:u w:val="single"/>
          </w:rPr>
          <w:t>Online</w:t>
        </w:r>
      </w:hyperlink>
    </w:p>
    <w:p w14:paraId="620F4E33" w14:textId="77777777" w:rsidR="00F8557C" w:rsidRDefault="00000000">
      <w:pPr>
        <w:spacing w:after="50" w:line="240" w:lineRule="auto"/>
      </w:pPr>
      <w:r>
        <w:rPr>
          <w:b/>
          <w:sz w:val="19"/>
        </w:rPr>
        <w:t xml:space="preserve">Oxford Bibliographies: </w:t>
      </w:r>
      <w:r>
        <w:rPr>
          <w:sz w:val="19"/>
        </w:rPr>
        <w:t xml:space="preserve">“Revelation (Apocalypse).” Daniel J. Harrington / David A. deSilva, aktualisiert 2024. Überblicksartikel. </w:t>
      </w:r>
      <w:hyperlink r:id="rId23">
        <w:r>
          <w:rPr>
            <w:color w:val="4F6F63"/>
            <w:u w:val="single"/>
          </w:rPr>
          <w:t>Online</w:t>
        </w:r>
      </w:hyperlink>
    </w:p>
    <w:sectPr w:rsidR="00F8557C" w:rsidSect="00034616">
      <w:headerReference w:type="default" r:id="rId24"/>
      <w:footerReference w:type="default" r:id="rId25"/>
      <w:pgSz w:w="12240" w:h="15840"/>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D3CA7" w14:textId="77777777" w:rsidR="00920E7F" w:rsidRDefault="00920E7F">
      <w:pPr>
        <w:spacing w:after="0" w:line="240" w:lineRule="auto"/>
      </w:pPr>
      <w:r>
        <w:separator/>
      </w:r>
    </w:p>
  </w:endnote>
  <w:endnote w:type="continuationSeparator" w:id="0">
    <w:p w14:paraId="6050D321" w14:textId="77777777" w:rsidR="00920E7F" w:rsidRDefault="00920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7174" w14:textId="77777777" w:rsidR="00F8557C" w:rsidRDefault="00000000">
    <w:pPr>
      <w:pStyle w:val="Fuzeile"/>
      <w:jc w:val="center"/>
    </w:pPr>
    <w:proofErr w:type="spellStart"/>
    <w:r>
      <w:rPr>
        <w:color w:val="6E6E6E"/>
        <w:sz w:val="16"/>
      </w:rPr>
      <w:t>Exegetische</w:t>
    </w:r>
    <w:proofErr w:type="spellEnd"/>
    <w:r>
      <w:rPr>
        <w:color w:val="6E6E6E"/>
        <w:sz w:val="16"/>
      </w:rPr>
      <w:t xml:space="preserve"> </w:t>
    </w:r>
    <w:proofErr w:type="spellStart"/>
    <w:r>
      <w:rPr>
        <w:color w:val="6E6E6E"/>
        <w:sz w:val="16"/>
      </w:rPr>
      <w:t>Vorbereitung</w:t>
    </w:r>
    <w:proofErr w:type="spellEnd"/>
    <w:r>
      <w:rPr>
        <w:color w:val="6E6E6E"/>
        <w:sz w:val="16"/>
      </w:rPr>
      <w:t xml:space="preserve"> und </w:t>
    </w:r>
    <w:proofErr w:type="spellStart"/>
    <w:proofErr w:type="gramStart"/>
    <w:r>
      <w:rPr>
        <w:color w:val="6E6E6E"/>
        <w:sz w:val="16"/>
      </w:rPr>
      <w:t>Bibelarbeit</w:t>
    </w:r>
    <w:proofErr w:type="spellEnd"/>
    <w:r>
      <w:t xml:space="preserve">  ·</w:t>
    </w:r>
    <w:proofErr w:type="gramEnd"/>
    <w:r>
      <w:t xml:space="preserve">  </w:t>
    </w:r>
    <w:r>
      <w:fldChar w:fldCharType="begin"/>
    </w:r>
    <w:r>
      <w:instrText xml:space="preserve"> PAGE </w:instrText>
    </w:r>
    <w:r w:rsidR="000621D1">
      <w:fldChar w:fldCharType="separate"/>
    </w:r>
    <w:r w:rsidR="000621D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F9F97" w14:textId="77777777" w:rsidR="00920E7F" w:rsidRDefault="00920E7F">
      <w:pPr>
        <w:spacing w:after="0" w:line="240" w:lineRule="auto"/>
      </w:pPr>
      <w:r>
        <w:separator/>
      </w:r>
    </w:p>
  </w:footnote>
  <w:footnote w:type="continuationSeparator" w:id="0">
    <w:p w14:paraId="400C008A" w14:textId="77777777" w:rsidR="00920E7F" w:rsidRDefault="00920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29A1" w14:textId="77777777" w:rsidR="00F8557C" w:rsidRDefault="00000000">
    <w:pPr>
      <w:pStyle w:val="Kopfzeile"/>
      <w:jc w:val="right"/>
    </w:pPr>
    <w:r w:rsidRPr="000621D1">
      <w:rPr>
        <w:color w:val="646464"/>
        <w:sz w:val="16"/>
        <w:lang w:val="de-DE"/>
      </w:rPr>
      <w:t xml:space="preserve">Bibelwoche „Dem Drachen ins Gesicht schauen“ · 1. </w:t>
    </w:r>
    <w:r>
      <w:rPr>
        <w:color w:val="646464"/>
        <w:sz w:val="16"/>
      </w:rPr>
      <w:t xml:space="preserve">Abend · </w:t>
    </w:r>
    <w:proofErr w:type="spellStart"/>
    <w:r>
      <w:rPr>
        <w:color w:val="646464"/>
        <w:sz w:val="16"/>
      </w:rPr>
      <w:t>Offb</w:t>
    </w:r>
    <w:proofErr w:type="spellEnd"/>
    <w:r>
      <w:rPr>
        <w:color w:val="646464"/>
        <w:sz w:val="16"/>
      </w:rPr>
      <w:t xml:space="preserve"> 1,1–3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61129151">
    <w:abstractNumId w:val="8"/>
  </w:num>
  <w:num w:numId="2" w16cid:durableId="1269659748">
    <w:abstractNumId w:val="6"/>
  </w:num>
  <w:num w:numId="3" w16cid:durableId="2118941939">
    <w:abstractNumId w:val="5"/>
  </w:num>
  <w:num w:numId="4" w16cid:durableId="1068960550">
    <w:abstractNumId w:val="4"/>
  </w:num>
  <w:num w:numId="5" w16cid:durableId="2068796664">
    <w:abstractNumId w:val="7"/>
  </w:num>
  <w:num w:numId="6" w16cid:durableId="28922036">
    <w:abstractNumId w:val="3"/>
  </w:num>
  <w:num w:numId="7" w16cid:durableId="109712252">
    <w:abstractNumId w:val="2"/>
  </w:num>
  <w:num w:numId="8" w16cid:durableId="534392313">
    <w:abstractNumId w:val="1"/>
  </w:num>
  <w:num w:numId="9" w16cid:durableId="132912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1D1"/>
    <w:rsid w:val="0015074B"/>
    <w:rsid w:val="0029639D"/>
    <w:rsid w:val="00326F90"/>
    <w:rsid w:val="00920E7F"/>
    <w:rsid w:val="00AA1D8D"/>
    <w:rsid w:val="00B47730"/>
    <w:rsid w:val="00CB0664"/>
    <w:rsid w:val="00F8557C"/>
    <w:rsid w:val="00FA01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0CC3DB"/>
  <w14:defaultImageDpi w14:val="300"/>
  <w15:docId w15:val="{7074A0AB-2C1C-4761-8D22-8079CBDFD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eastAsia="Aptos" w:hAnsi="Aptos"/>
      <w:sz w:val="21"/>
    </w:rPr>
  </w:style>
  <w:style w:type="paragraph" w:styleId="berschrift1">
    <w:name w:val="heading 1"/>
    <w:basedOn w:val="Standard"/>
    <w:next w:val="Standard"/>
    <w:link w:val="berschrift1Zchn"/>
    <w:uiPriority w:val="9"/>
    <w:qFormat/>
    <w:rsid w:val="00FC693F"/>
    <w:pPr>
      <w:keepNext/>
      <w:keepLines/>
      <w:spacing w:before="200"/>
      <w:outlineLvl w:val="0"/>
    </w:pPr>
    <w:rPr>
      <w:rFonts w:asciiTheme="majorHAnsi" w:eastAsiaTheme="majorEastAsia" w:hAnsiTheme="majorHAnsi" w:cstheme="majorBidi"/>
      <w:b/>
      <w:bCs/>
      <w:color w:val="253A34"/>
      <w:sz w:val="32"/>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6F63"/>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6B5743"/>
      <w:sz w:val="23"/>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253A34"/>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83" w:right="283"/>
    </w:pPr>
    <w:rPr>
      <w:rFonts w:ascii="Aptos" w:hAnsi="Aptos"/>
      <w:color w:val="253A3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about/Revelation_1_5.html?id=rWwRAQAAIAAJ" TargetMode="External"/><Relationship Id="rId13" Type="http://schemas.openxmlformats.org/officeDocument/2006/relationships/hyperlink" Target="https://journals.sagepub.com/doi/10.1177/0142064X05052510" TargetMode="External"/><Relationship Id="rId18" Type="http://schemas.openxmlformats.org/officeDocument/2006/relationships/hyperlink" Target="https://academic.oup.com/edited-volume/3424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ambridge.org/core/journals/new-testament-studies/article/abs/on-the-social-setting-of-the-revelation-to-john/B416D6BFF0F2CE934E4B3A4816DEEE62" TargetMode="External"/><Relationship Id="rId7" Type="http://schemas.openxmlformats.org/officeDocument/2006/relationships/endnotes" Target="endnotes.xml"/><Relationship Id="rId12" Type="http://schemas.openxmlformats.org/officeDocument/2006/relationships/hyperlink" Target="https://www.die-bibel.de/bibel/BB%2CLU17/REV.1" TargetMode="External"/><Relationship Id="rId17" Type="http://schemas.openxmlformats.org/officeDocument/2006/relationships/hyperlink" Target="https://yalebooks.yale.edu/book/9780300211030/revelatio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die-bibel.de/ressourcen/2-fachdidaktische-konzepte/wirelex" TargetMode="External"/><Relationship Id="rId20" Type="http://schemas.openxmlformats.org/officeDocument/2006/relationships/hyperlink" Target="https://www.perlego.com/book/2039467/revelation-baker-exegetical-commentary-on-the-new-testamen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c.oup.com/edited-volume/34244/chapter-abstract/290346111"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esearchgate.net/publication/276037313_El_estilo_oral_y_los_rostros_de_Dios_en_el_Apocalipsis" TargetMode="External"/><Relationship Id="rId23" Type="http://schemas.openxmlformats.org/officeDocument/2006/relationships/hyperlink" Target="https://academic.oup.com/reference/62341/reference-article-abstract/554104292" TargetMode="External"/><Relationship Id="rId10" Type="http://schemas.openxmlformats.org/officeDocument/2006/relationships/hyperlink" Target="https://www.die-bibel.de/ressourcen/wibilex/neues-testament/apokalyptik-nt" TargetMode="External"/><Relationship Id="rId19" Type="http://schemas.openxmlformats.org/officeDocument/2006/relationships/hyperlink" Target="https://academic.oup.com/edited-volume/34244/chapter-abstract/290345477" TargetMode="External"/><Relationship Id="rId4" Type="http://schemas.openxmlformats.org/officeDocument/2006/relationships/settings" Target="settings.xml"/><Relationship Id="rId9" Type="http://schemas.openxmlformats.org/officeDocument/2006/relationships/hyperlink" Target="https://books.google.com/books/about/The_Theology_of_the_Book_of_Revelation.html?id=HbkLAQAAQBAJ" TargetMode="External"/><Relationship Id="rId14" Type="http://schemas.openxmlformats.org/officeDocument/2006/relationships/hyperlink" Target="https://academic.oup.com/book/16551" TargetMode="External"/><Relationship Id="rId22" Type="http://schemas.openxmlformats.org/officeDocument/2006/relationships/hyperlink" Target="https://classic.net.bible.org/passage.php?passage=Rev+1%3A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5117</Words>
  <Characters>33671</Characters>
  <Application>Microsoft Office Word</Application>
  <DocSecurity>0</DocSecurity>
  <Lines>701</Lines>
  <Paragraphs>399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Jörg Bachmann</cp:lastModifiedBy>
  <cp:revision>2</cp:revision>
  <dcterms:created xsi:type="dcterms:W3CDTF">2013-12-23T23:15:00Z</dcterms:created>
  <dcterms:modified xsi:type="dcterms:W3CDTF">2026-09-13T21:48:00Z</dcterms:modified>
  <cp:category/>
</cp:coreProperties>
</file>