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Noto Sans" w:hAnsi="Noto Sans"/>
          <w:b/>
          <w:color w:val="3C5049"/>
          <w:sz w:val="22"/>
        </w:rPr>
        <w:t>BIBELWOCHE</w:t>
      </w:r>
    </w:p>
    <w:p>
      <w:pPr>
        <w:jc w:val="center"/>
      </w:pPr>
      <w:r>
        <w:rPr>
          <w:rFonts w:ascii="Noto Serif" w:hAnsi="Noto Serif"/>
          <w:i/>
          <w:sz w:val="34"/>
        </w:rPr>
        <w:t>Dem Drachen ins Gesicht schauen</w:t>
      </w:r>
    </w:p>
    <w:p>
      <w:pPr>
        <w:jc w:val="center"/>
      </w:pPr>
      <w:r>
        <w:rPr>
          <w:rFonts w:ascii="Noto Sans" w:hAnsi="Noto Sans"/>
          <w:b/>
          <w:color w:val="3A534A"/>
          <w:sz w:val="28"/>
        </w:rPr>
        <w:t>6. Abend</w:t>
      </w:r>
    </w:p>
    <w:p>
      <w:pPr>
        <w:jc w:val="center"/>
      </w:pPr>
      <w:r>
        <w:rPr>
          <w:rFonts w:ascii="Noto Sans" w:hAnsi="Noto Sans"/>
          <w:b/>
          <w:color w:val="20352F"/>
          <w:sz w:val="48"/>
        </w:rPr>
        <w:t>BABYLONS FALL &amp; JUBEL IM HIMMEL</w:t>
      </w:r>
    </w:p>
    <w:p>
      <w:pPr>
        <w:jc w:val="center"/>
      </w:pPr>
      <w:r>
        <w:rPr>
          <w:b/>
          <w:sz w:val="28"/>
        </w:rPr>
        <w:t>Offenbarung 19,1–10</w:t>
      </w:r>
    </w:p>
    <w:p>
      <w:pPr>
        <w:spacing w:before="200"/>
        <w:jc w:val="center"/>
      </w:pPr>
      <w:r>
        <w:rPr>
          <w:i/>
          <w:sz w:val="26"/>
        </w:rPr>
        <w:t>Nicht Babylon behält das letzte Wort, sondern Gott und das Lamm.</w:t>
      </w:r>
    </w:p>
    <w:tbl>
      <w:tblPr>
        <w:tblW w:type="auto" w:w="0"/>
        <w:jc w:val="center"/>
        <w:tblLayout w:type="fixed"/>
        <w:tblLook w:firstColumn="1" w:firstRow="1" w:lastColumn="0" w:lastRow="0" w:noHBand="0" w:noVBand="1" w:val="04A0"/>
      </w:tblPr>
      <w:tblGrid>
        <w:gridCol w:w="9468"/>
      </w:tblGrid>
      <w:tr>
        <w:tc>
          <w:tcPr>
            <w:tcW w:type="dxa" w:w="9972"/>
            <w:shd w:fill="E8EDE9"/>
            <w:tcMar>
              <w:top w:w="150" w:type="dxa"/>
              <w:start w:w="180" w:type="dxa"/>
              <w:bottom w:w="150" w:type="dxa"/>
              <w:end w:w="180" w:type="dxa"/>
            </w:tcMar>
          </w:tcPr>
          <w:p>
            <w:pPr>
              <w:spacing w:after="60"/>
            </w:pPr>
            <w:r>
              <w:rPr>
                <w:rFonts w:ascii="Noto Sans" w:hAnsi="Noto Sans"/>
                <w:b/>
                <w:color w:val="304E44"/>
                <w:sz w:val="18"/>
              </w:rPr>
              <w:t>LEITFRAGE DES ABENDS</w:t>
            </w:r>
          </w:p>
          <w:p>
            <w:pPr>
              <w:spacing w:after="0"/>
            </w:pPr>
            <w:r>
              <w:t>Was verändert sich, wenn wir Gottes Gericht nicht als Lust am Untergang, sondern als Ende von Unrecht und Beginn von Gemeinschaft lesen?</w:t>
            </w:r>
          </w:p>
        </w:tc>
      </w:tr>
    </w:tbl>
    <w:p>
      <w:pPr>
        <w:spacing w:after="20"/>
      </w:pPr>
    </w:p>
    <w:p>
      <w:r>
        <w:br w:type="page"/>
      </w:r>
    </w:p>
    <w:p>
      <w:pPr>
        <w:pStyle w:val="Heading1"/>
      </w:pPr>
      <w:r>
        <w:t>1. Wissenschaftliche Vorbereitung</w:t>
      </w:r>
    </w:p>
    <w:p>
      <w:pPr>
        <w:pStyle w:val="Heading2"/>
      </w:pPr>
      <w:r>
        <w:t>1.1 Abgrenzung, literarische Funktion und Aufbau</w:t>
      </w:r>
    </w:p>
    <w:p>
      <w:r>
        <w:t>Offenbarung 19,1–10 bildet die unmittelbare Antwort auf den Untergang Babylons in Kapitel 18. Der Abschnitt beginnt mit dem markierenden μετὰ ταῦτα („danach“) und wechselt von der irdischen Klage der Könige, Kaufleute und Seefahrer zum himmlischen Lob. Die Verse 1–8 sind ein groß angelegter Halleluja-Hymnus; die Verse 9–10 schließen die Szene mit einem Seligpreisungswort und der Korrektur einer fehlgeleiteten Anbetung ab.</w:t>
      </w:r>
    </w:p>
    <w:p>
      <w:r>
        <w:t>Die Einheit ist zugleich Rückblick und Übergang: Sie schaut auf Babylons Gericht zurück und bereitet mit dem Motiv der Hochzeit des Lammes die Vision des neuen Jerusalem vor. Die Forschung diskutiert, ob 19,1–8, 19,1–10 oder ein noch größerer Abschnitt als literarische Einheit anzusetzen ist. Für die Bibelarbeit ist 19,1–10 sinnvoll, weil Vers 10 die Frage nach wahrer Anbetung und christusbezogenem Zeugnis zuspitzt.</w:t>
      </w:r>
    </w:p>
    <w:tbl>
      <w:tblPr>
        <w:tblStyle w:val="TableGrid"/>
        <w:tblW w:type="auto" w:w="0"/>
        <w:jc w:val="center"/>
        <w:tblLook w:firstColumn="1" w:firstRow="1" w:lastColumn="0" w:lastRow="0" w:noHBand="0" w:noVBand="1" w:val="04A0"/>
      </w:tblPr>
      <w:tblGrid>
        <w:gridCol w:w="3324"/>
        <w:gridCol w:w="3324"/>
        <w:gridCol w:w="3324"/>
      </w:tblGrid>
      <w:tr>
        <w:tc>
          <w:tcPr>
            <w:tcW w:type="dxa" w:w="3324"/>
            <w:shd w:fill="DDE7E1"/>
          </w:tcPr>
          <w:p>
            <w:r>
              <w:t>Versbereich</w:t>
            </w:r>
          </w:p>
        </w:tc>
        <w:tc>
          <w:tcPr>
            <w:tcW w:type="dxa" w:w="3324"/>
            <w:shd w:fill="DDE7E1"/>
          </w:tcPr>
          <w:p>
            <w:r>
              <w:t>Textbewegung</w:t>
            </w:r>
          </w:p>
        </w:tc>
        <w:tc>
          <w:tcPr>
            <w:tcW w:type="dxa" w:w="3324"/>
            <w:shd w:fill="DDE7E1"/>
          </w:tcPr>
          <w:p>
            <w:r>
              <w:t>Funktion</w:t>
            </w:r>
          </w:p>
        </w:tc>
      </w:tr>
      <w:tr>
        <w:tc>
          <w:tcPr>
            <w:tcW w:type="dxa" w:w="3324"/>
          </w:tcPr>
          <w:p>
            <w:r>
              <w:t>19,1–3</w:t>
            </w:r>
          </w:p>
        </w:tc>
        <w:tc>
          <w:tcPr>
            <w:tcW w:type="dxa" w:w="3324"/>
          </w:tcPr>
          <w:p>
            <w:r>
              <w:t>Halleluja über Gottes wahres und gerechtes Gericht</w:t>
            </w:r>
          </w:p>
        </w:tc>
        <w:tc>
          <w:tcPr>
            <w:tcW w:type="dxa" w:w="3324"/>
          </w:tcPr>
          <w:p>
            <w:r>
              <w:t>Kontrast zu den Klagen über Babylon in Kap. 18</w:t>
            </w:r>
          </w:p>
        </w:tc>
      </w:tr>
      <w:tr>
        <w:tc>
          <w:tcPr>
            <w:tcW w:type="dxa" w:w="3324"/>
          </w:tcPr>
          <w:p>
            <w:r>
              <w:t>19,4–5</w:t>
            </w:r>
          </w:p>
        </w:tc>
        <w:tc>
          <w:tcPr>
            <w:tcW w:type="dxa" w:w="3324"/>
          </w:tcPr>
          <w:p>
            <w:r>
              <w:t>Antwortende Anbetung und Ruf zum Lob</w:t>
            </w:r>
          </w:p>
        </w:tc>
        <w:tc>
          <w:tcPr>
            <w:tcW w:type="dxa" w:w="3324"/>
          </w:tcPr>
          <w:p>
            <w:r>
              <w:t>Himmel und Gemeinde werden in den Lobpreis hineingenommen</w:t>
            </w:r>
          </w:p>
        </w:tc>
      </w:tr>
      <w:tr>
        <w:tc>
          <w:tcPr>
            <w:tcW w:type="dxa" w:w="3324"/>
          </w:tcPr>
          <w:p>
            <w:r>
              <w:t>19,6–8</w:t>
            </w:r>
          </w:p>
        </w:tc>
        <w:tc>
          <w:tcPr>
            <w:tcW w:type="dxa" w:w="3324"/>
          </w:tcPr>
          <w:p>
            <w:r>
              <w:t>Gottes Herrschaft und Hochzeit des Lammes</w:t>
            </w:r>
          </w:p>
        </w:tc>
        <w:tc>
          <w:tcPr>
            <w:tcW w:type="dxa" w:w="3324"/>
          </w:tcPr>
          <w:p>
            <w:r>
              <w:t>Gericht mündet in Gemeinschaft, Freude und Hoffnung</w:t>
            </w:r>
          </w:p>
        </w:tc>
      </w:tr>
      <w:tr>
        <w:tc>
          <w:tcPr>
            <w:tcW w:type="dxa" w:w="3324"/>
          </w:tcPr>
          <w:p>
            <w:r>
              <w:t>19,9</w:t>
            </w:r>
          </w:p>
        </w:tc>
        <w:tc>
          <w:tcPr>
            <w:tcW w:type="dxa" w:w="3324"/>
          </w:tcPr>
          <w:p>
            <w:r>
              <w:t>Seligpreisung der Geladenen</w:t>
            </w:r>
          </w:p>
        </w:tc>
        <w:tc>
          <w:tcPr>
            <w:tcW w:type="dxa" w:w="3324"/>
          </w:tcPr>
          <w:p>
            <w:r>
              <w:t>Persönliche Einladung in die Heilswirklichkeit</w:t>
            </w:r>
          </w:p>
        </w:tc>
      </w:tr>
      <w:tr>
        <w:tc>
          <w:tcPr>
            <w:tcW w:type="dxa" w:w="3324"/>
          </w:tcPr>
          <w:p>
            <w:r>
              <w:t>19,10</w:t>
            </w:r>
          </w:p>
        </w:tc>
        <w:tc>
          <w:tcPr>
            <w:tcW w:type="dxa" w:w="3324"/>
          </w:tcPr>
          <w:p>
            <w:r>
              <w:t>Anbetung allein Gottes; Zeugnis Jesu und Prophetie</w:t>
            </w:r>
          </w:p>
        </w:tc>
        <w:tc>
          <w:tcPr>
            <w:tcW w:type="dxa" w:w="3324"/>
          </w:tcPr>
          <w:p>
            <w:r>
              <w:t>Korrektur religiöser Fehlorientierung und christologische Mitte</w:t>
            </w:r>
          </w:p>
        </w:tc>
      </w:tr>
    </w:tbl>
    <w:p>
      <w:pPr>
        <w:pStyle w:val="Heading2"/>
      </w:pPr>
      <w:r>
        <w:t>1.2 Übersetzungsvergleich und Textkritik</w:t>
      </w:r>
    </w:p>
    <w:p>
      <w:r>
        <w:t>Lutherbibel 2017 und BasisBibel treffen den Grundsinn ähnlich, setzen aber unterschiedliche Akzente. Für die Auslegung sind besonders vier Beobachtungen wichtig:</w:t>
      </w:r>
    </w:p>
    <w:p>
      <w:pPr>
        <w:pStyle w:val="ListBullet"/>
      </w:pPr>
      <w:r>
        <w:t>19,1–6: Ἁλληλουϊά (hallēlouia) übernimmt den hebräischen Gotteslob-Ruf. In der neutestamentlichen Überlieferung steht er nur hier und strukturiert den Hymnus viermal.</w:t>
      </w:r>
    </w:p>
    <w:p>
      <w:pPr>
        <w:pStyle w:val="ListBullet"/>
      </w:pPr>
      <w:r>
        <w:t>19,6: ἐβασίλευσεν (ebasileusen) ist Aorist von βασιλεύω. Es kann den Eintritt bzw. die wirksame Offenbarung der Königsherrschaft markieren. „hat seine Herrschaft angetreten“ bringt diese dramatische Zuspitzung besser zum Ausdruck als ein bloß zeitloses „regiert“.</w:t>
      </w:r>
    </w:p>
    <w:p>
      <w:pPr>
        <w:pStyle w:val="ListBullet"/>
      </w:pPr>
      <w:r>
        <w:t>19,8: βύσσινον (byssinon) bezeichnet feines Leinen; „Seide“ wäre materialgeschichtlich weniger präzise. Entscheidend ist die Deutung des Leinens als δικαιώματα τῶν ἁγίων. Das kann sachgerecht mit „gerechte Taten/Handlungen der Heiligen“ wiedergegeben werden, steht aber zugleich unter dem vorangestellten „es wurde ihr gegeben“: Gabe Gottes und gelebte Treue werden nicht gegeneinander ausgespielt.</w:t>
      </w:r>
    </w:p>
    <w:p>
      <w:pPr>
        <w:pStyle w:val="ListBullet"/>
      </w:pPr>
      <w:r>
        <w:t>19,10: μαρτυρία Ἰησοῦ (martyria Iēsou) kann grammatisch als Zeugnis über Jesus oder als von Jesus ausgehendes Zeugnis verstanden werden. Im Buch gehören beide Dimensionen eng zusammen: Christus bezeugt Gottes Wahrheit, und die Gemeinde trägt dieses Zeugnis weiter.</w:t>
      </w:r>
    </w:p>
    <w:tbl>
      <w:tblPr>
        <w:tblW w:type="auto" w:w="0"/>
        <w:jc w:val="center"/>
        <w:tblLayout w:type="fixed"/>
        <w:tblLook w:firstColumn="1" w:firstRow="1" w:lastColumn="0" w:lastRow="0" w:noHBand="0" w:noVBand="1" w:val="04A0"/>
      </w:tblPr>
      <w:tblGrid>
        <w:gridCol w:w="9468"/>
      </w:tblGrid>
      <w:tr>
        <w:tc>
          <w:tcPr>
            <w:tcW w:type="dxa" w:w="9972"/>
            <w:shd w:fill="F2F4F2"/>
            <w:tcMar>
              <w:top w:w="150" w:type="dxa"/>
              <w:start w:w="180" w:type="dxa"/>
              <w:bottom w:w="150" w:type="dxa"/>
              <w:end w:w="180" w:type="dxa"/>
            </w:tcMar>
          </w:tcPr>
          <w:p>
            <w:pPr>
              <w:spacing w:after="60"/>
            </w:pPr>
            <w:r>
              <w:rPr>
                <w:rFonts w:ascii="Noto Sans" w:hAnsi="Noto Sans"/>
                <w:b/>
                <w:color w:val="304E44"/>
                <w:sz w:val="18"/>
              </w:rPr>
              <w:t>TEXTKRITISCH RELEVANT</w:t>
            </w:r>
          </w:p>
          <w:p>
            <w:pPr>
              <w:spacing w:after="0"/>
            </w:pPr>
            <w:r>
              <w:t>In 19,6 ist das Pronomen ἡμῶν („unser“) unterschiedlich bezeugt; gute Handschriften stehen auf beiden Seiten. In 19,7 ist bei δίδωμι die Lesart des Futurs („wir werden geben“) gegenüber einer erwartbaren Aufforderungsform auffällig. Beide Varianten verändern die Hauptaussage des Abschnitts nicht, zeigen aber die bewegte Textüberlieferung der Offenbarung.</w:t>
            </w:r>
          </w:p>
        </w:tc>
      </w:tr>
    </w:tbl>
    <w:p>
      <w:pPr>
        <w:spacing w:after="20"/>
      </w:pPr>
    </w:p>
    <w:p>
      <w:pPr>
        <w:pStyle w:val="Heading2"/>
      </w:pPr>
      <w:r>
        <w:t>1.3 Urtext: Schlüsselbegriffe</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493"/>
            <w:shd w:fill="DDE7E1"/>
          </w:tcPr>
          <w:p>
            <w:r>
              <w:t>Griechisch</w:t>
            </w:r>
          </w:p>
        </w:tc>
        <w:tc>
          <w:tcPr>
            <w:tcW w:type="dxa" w:w="2493"/>
            <w:shd w:fill="DDE7E1"/>
          </w:tcPr>
          <w:p>
            <w:r>
              <w:t>Umschrift</w:t>
            </w:r>
          </w:p>
        </w:tc>
        <w:tc>
          <w:tcPr>
            <w:tcW w:type="dxa" w:w="2493"/>
            <w:shd w:fill="DDE7E1"/>
          </w:tcPr>
          <w:p>
            <w:r>
              <w:t>Bedeutung im Kontext</w:t>
            </w:r>
          </w:p>
        </w:tc>
        <w:tc>
          <w:tcPr>
            <w:tcW w:type="dxa" w:w="2493"/>
            <w:shd w:fill="DDE7E1"/>
          </w:tcPr>
          <w:p>
            <w:r>
              <w:t>Auslegungshinweis</w:t>
            </w:r>
          </w:p>
        </w:tc>
      </w:tr>
      <w:tr>
        <w:tc>
          <w:tcPr>
            <w:tcW w:type="dxa" w:w="2493"/>
          </w:tcPr>
          <w:p>
            <w:r>
              <w:t>Ἁλληλουϊά</w:t>
            </w:r>
          </w:p>
        </w:tc>
        <w:tc>
          <w:tcPr>
            <w:tcW w:type="dxa" w:w="2493"/>
          </w:tcPr>
          <w:p>
            <w:r>
              <w:t>hallēlouia</w:t>
            </w:r>
          </w:p>
        </w:tc>
        <w:tc>
          <w:tcPr>
            <w:tcW w:type="dxa" w:w="2493"/>
          </w:tcPr>
          <w:p>
            <w:r>
              <w:t>„Lobt Jah / Lobt den HERRN“</w:t>
            </w:r>
          </w:p>
        </w:tc>
        <w:tc>
          <w:tcPr>
            <w:tcW w:type="dxa" w:w="2493"/>
          </w:tcPr>
          <w:p>
            <w:r>
              <w:t>Kein Stimmungsausbruch, sondern liturgische Deutung der Wirklichkeit.</w:t>
            </w:r>
          </w:p>
        </w:tc>
      </w:tr>
      <w:tr>
        <w:tc>
          <w:tcPr>
            <w:tcW w:type="dxa" w:w="2493"/>
          </w:tcPr>
          <w:p>
            <w:r>
              <w:t>κρίσεις ἀληθιναὶ καὶ δίκαιαι</w:t>
            </w:r>
          </w:p>
        </w:tc>
        <w:tc>
          <w:tcPr>
            <w:tcW w:type="dxa" w:w="2493"/>
          </w:tcPr>
          <w:p>
            <w:r>
              <w:t>kriseis alēthinai kai dikaiai</w:t>
            </w:r>
          </w:p>
        </w:tc>
        <w:tc>
          <w:tcPr>
            <w:tcW w:type="dxa" w:w="2493"/>
          </w:tcPr>
          <w:p>
            <w:r>
              <w:t>wahre und gerechte Gerichte</w:t>
            </w:r>
          </w:p>
        </w:tc>
        <w:tc>
          <w:tcPr>
            <w:tcW w:type="dxa" w:w="2493"/>
          </w:tcPr>
          <w:p>
            <w:r>
              <w:t>Gottes Urteil wird als Gegenbild zu korrupter Machtausübung beschrieben.</w:t>
            </w:r>
          </w:p>
        </w:tc>
      </w:tr>
      <w:tr>
        <w:tc>
          <w:tcPr>
            <w:tcW w:type="dxa" w:w="2493"/>
          </w:tcPr>
          <w:p>
            <w:r>
              <w:t>ἐκδικέω</w:t>
            </w:r>
          </w:p>
        </w:tc>
        <w:tc>
          <w:tcPr>
            <w:tcW w:type="dxa" w:w="2493"/>
          </w:tcPr>
          <w:p>
            <w:r>
              <w:t>ekdikeō</w:t>
            </w:r>
          </w:p>
        </w:tc>
        <w:tc>
          <w:tcPr>
            <w:tcW w:type="dxa" w:w="2493"/>
          </w:tcPr>
          <w:p>
            <w:r>
              <w:t>Recht verschaffen / vergelten</w:t>
            </w:r>
          </w:p>
        </w:tc>
        <w:tc>
          <w:tcPr>
            <w:tcW w:type="dxa" w:w="2493"/>
          </w:tcPr>
          <w:p>
            <w:r>
              <w:t>Antwort auf den Schrei der Bedrängten aus 6,10; nicht private Rache der Gemeinde.</w:t>
            </w:r>
          </w:p>
        </w:tc>
      </w:tr>
      <w:tr>
        <w:tc>
          <w:tcPr>
            <w:tcW w:type="dxa" w:w="2493"/>
          </w:tcPr>
          <w:p>
            <w:r>
              <w:t>ἐβασίλευσεν</w:t>
            </w:r>
          </w:p>
        </w:tc>
        <w:tc>
          <w:tcPr>
            <w:tcW w:type="dxa" w:w="2493"/>
          </w:tcPr>
          <w:p>
            <w:r>
              <w:t>ebasileusen</w:t>
            </w:r>
          </w:p>
        </w:tc>
        <w:tc>
          <w:tcPr>
            <w:tcW w:type="dxa" w:w="2493"/>
          </w:tcPr>
          <w:p>
            <w:r>
              <w:t>hat als König geherrscht / Herrschaft wirksam aufgerichtet</w:t>
            </w:r>
          </w:p>
        </w:tc>
        <w:tc>
          <w:tcPr>
            <w:tcW w:type="dxa" w:w="2493"/>
          </w:tcPr>
          <w:p>
            <w:r>
              <w:t>Die Gotteshoheit wird öffentlich sichtbar.</w:t>
            </w:r>
          </w:p>
        </w:tc>
      </w:tr>
      <w:tr>
        <w:tc>
          <w:tcPr>
            <w:tcW w:type="dxa" w:w="2493"/>
          </w:tcPr>
          <w:p>
            <w:r>
              <w:t>γάμος τοῦ ἀρνίου</w:t>
            </w:r>
          </w:p>
        </w:tc>
        <w:tc>
          <w:tcPr>
            <w:tcW w:type="dxa" w:w="2493"/>
          </w:tcPr>
          <w:p>
            <w:r>
              <w:t>gamos tou arniou</w:t>
            </w:r>
          </w:p>
        </w:tc>
        <w:tc>
          <w:tcPr>
            <w:tcW w:type="dxa" w:w="2493"/>
          </w:tcPr>
          <w:p>
            <w:r>
              <w:t>Hochzeit des Lammes</w:t>
            </w:r>
          </w:p>
        </w:tc>
        <w:tc>
          <w:tcPr>
            <w:tcW w:type="dxa" w:w="2493"/>
          </w:tcPr>
          <w:p>
            <w:r>
              <w:t>Bundes- und Gemeinschaftsbild, nicht romantisches Detail.</w:t>
            </w:r>
          </w:p>
        </w:tc>
      </w:tr>
      <w:tr>
        <w:tc>
          <w:tcPr>
            <w:tcW w:type="dxa" w:w="2493"/>
          </w:tcPr>
          <w:p>
            <w:r>
              <w:t>βύσσινον λαμπρὸν καθαρόν</w:t>
            </w:r>
          </w:p>
        </w:tc>
        <w:tc>
          <w:tcPr>
            <w:tcW w:type="dxa" w:w="2493"/>
          </w:tcPr>
          <w:p>
            <w:r>
              <w:t>byssinon lampron katharon</w:t>
            </w:r>
          </w:p>
        </w:tc>
        <w:tc>
          <w:tcPr>
            <w:tcW w:type="dxa" w:w="2493"/>
          </w:tcPr>
          <w:p>
            <w:r>
              <w:t>feines, glänzendes, reines Leinen</w:t>
            </w:r>
          </w:p>
        </w:tc>
        <w:tc>
          <w:tcPr>
            <w:tcW w:type="dxa" w:w="2493"/>
          </w:tcPr>
          <w:p>
            <w:r>
              <w:t>Kontrast zur Pracht Babylons: nicht Luxus, sondern Heiligkeit und Treue.</w:t>
            </w:r>
          </w:p>
        </w:tc>
      </w:tr>
      <w:tr>
        <w:tc>
          <w:tcPr>
            <w:tcW w:type="dxa" w:w="2493"/>
          </w:tcPr>
          <w:p>
            <w:r>
              <w:t>δικαιώματα τῶν ἁγίων</w:t>
            </w:r>
          </w:p>
        </w:tc>
        <w:tc>
          <w:tcPr>
            <w:tcW w:type="dxa" w:w="2493"/>
          </w:tcPr>
          <w:p>
            <w:r>
              <w:t>dikaiōmata tōn hagiōn</w:t>
            </w:r>
          </w:p>
        </w:tc>
        <w:tc>
          <w:tcPr>
            <w:tcW w:type="dxa" w:w="2493"/>
          </w:tcPr>
          <w:p>
            <w:r>
              <w:t>gerechte Taten / Rechtsgestalten der Heiligen</w:t>
            </w:r>
          </w:p>
        </w:tc>
        <w:tc>
          <w:tcPr>
            <w:tcW w:type="dxa" w:w="2493"/>
          </w:tcPr>
          <w:p>
            <w:r>
              <w:t>Ethik als Frucht der Gabe Gottes.</w:t>
            </w:r>
          </w:p>
        </w:tc>
      </w:tr>
      <w:tr>
        <w:tc>
          <w:tcPr>
            <w:tcW w:type="dxa" w:w="2493"/>
          </w:tcPr>
          <w:p>
            <w:r>
              <w:t>μαρτυρία Ἰησοῦ</w:t>
            </w:r>
          </w:p>
        </w:tc>
        <w:tc>
          <w:tcPr>
            <w:tcW w:type="dxa" w:w="2493"/>
          </w:tcPr>
          <w:p>
            <w:r>
              <w:t>martyria Iēsou</w:t>
            </w:r>
          </w:p>
        </w:tc>
        <w:tc>
          <w:tcPr>
            <w:tcW w:type="dxa" w:w="2493"/>
          </w:tcPr>
          <w:p>
            <w:r>
              <w:t>Zeugnis Jesu / Zeugnis über Jesus</w:t>
            </w:r>
          </w:p>
        </w:tc>
        <w:tc>
          <w:tcPr>
            <w:tcW w:type="dxa" w:w="2493"/>
          </w:tcPr>
          <w:p>
            <w:r>
              <w:t>Prophetie ist christusbezogen; wahre Anbetung gilt Gott.</w:t>
            </w:r>
          </w:p>
        </w:tc>
      </w:tr>
    </w:tbl>
    <w:p>
      <w:pPr>
        <w:pStyle w:val="Heading2"/>
      </w:pPr>
      <w:r>
        <w:t>1.4 Situation der Adressaten und politisch-religiöser Horizont</w:t>
      </w:r>
    </w:p>
    <w:p>
      <w:r>
        <w:t>Die Offenbarung richtet sich an konkrete Gemeinden in der römischen Provinz Asia. Der Text lebt von der Erfahrung, dass imperiale Macht nicht nur militärisch oder administrativ auftritt, sondern sich in öffentlicher Repräsentation, wirtschaftlichen Netzen und kultischer Loyalität verdichtet. „Babylon“ funktioniert in der Offenbarung deshalb als Chiffre einer verführerischen, gewaltsamen und ökonomisch mächtigen Gegenwelt. Die Identifikation mit Rom ist historisch und literarisch sehr plausibel, darf aber nicht so verengt werden, dass das Symbol seine weiterreichende Kritik an gottähnlichen Machtansprüchen verliert.</w:t>
      </w:r>
    </w:p>
    <w:p>
      <w:r>
        <w:t>Die Forschung warnt zugleich vor dem simplen Bild einer überall gleichförmigen staatlichen Christenverfolgung. Die Offenbarung arbeitet mit realen Erfahrungen von Druck, Ausgrenzung und Gewalt, steigert sie aber apokalyptisch, damit Gemeinden ihre Situation aus Gottes Perspektive sehen. Das Ziel ist nicht Angstpädagogik, sondern Widerstandskraft und Hoffnung.</w:t>
      </w:r>
    </w:p>
    <w:p>
      <w:pPr>
        <w:pStyle w:val="Heading2"/>
      </w:pPr>
      <w:r>
        <w:t>1.5 Alttestamentliche und frühjüdische Bezüge</w:t>
      </w:r>
    </w:p>
    <w:p>
      <w:pPr>
        <w:pStyle w:val="ListBullet"/>
      </w:pPr>
      <w:r>
        <w:t>Jeremia 50–51: Gericht über Babylon; die Offenbarung übernimmt und transformiert die alte Babylon-Tradition für ihre Gegenwart.</w:t>
      </w:r>
    </w:p>
    <w:p>
      <w:pPr>
        <w:pStyle w:val="ListBullet"/>
      </w:pPr>
      <w:r>
        <w:t>Jesaja 34,8–10: das Bild des dauerhaft aufsteigenden Rauches dient als poetische Chiffre für unwiderrufliches Gericht.</w:t>
      </w:r>
    </w:p>
    <w:p>
      <w:pPr>
        <w:pStyle w:val="ListBullet"/>
      </w:pPr>
      <w:r>
        <w:t>Psalmen 104–106; 111–117; 146–150: Halleluja-Tradition und responsorisches Gotteslob.</w:t>
      </w:r>
    </w:p>
    <w:p>
      <w:pPr>
        <w:pStyle w:val="ListBullet"/>
      </w:pPr>
      <w:r>
        <w:t>Psalm 93; 96–97; Jesaja 52,7; Sacharja 14,9: Gottes Königsherrschaft als Heilsbotschaft.</w:t>
      </w:r>
    </w:p>
    <w:p>
      <w:pPr>
        <w:pStyle w:val="ListBullet"/>
      </w:pPr>
      <w:r>
        <w:t>Jesaja 61,10; 62,4–5; Hosea 2,18–22: Braut-, Gewand- und Hochzeitsmotive für die erneuerte Gemeinschaft Gottes mit seinem Volk.</w:t>
      </w:r>
    </w:p>
    <w:p>
      <w:pPr>
        <w:pStyle w:val="ListBullet"/>
      </w:pPr>
      <w:r>
        <w:t>Daniel und die apokalyptische Tradition: Krise – Gericht – Erlösung als Grunddramaturgie; in der Offenbarung christologisch auf das Lamm konzentriert.</w:t>
      </w:r>
    </w:p>
    <w:p>
      <w:pPr>
        <w:pStyle w:val="Heading2"/>
      </w:pPr>
      <w:r>
        <w:t>1.6 Versweise Exegese</w:t>
      </w:r>
    </w:p>
    <w:p>
      <w:pPr>
        <w:pStyle w:val="Heading3"/>
      </w:pPr>
      <w:r>
        <w:t>Verse 1–3 – Der Himmel deutet Babylons Fall</w:t>
      </w:r>
    </w:p>
    <w:p>
      <w:r>
        <w:t>Johannes „hört“ die Deutung des vorangegangenen Gerichts. Der Jubel hat einen Grund: Rettung, Herrlichkeit und Macht werden Gott zugeschrieben, nicht Babylon. Das Urteil über die „große Hure“ antwortet auf deren zerstörerisches Handeln und auf das vergossene Blut der Knechte Gottes. Das Bild des aufsteigenden Rauches ist apokalyptische Endgültigkeitssprache; es ist keine Einladung, am Leid anderer Gefallen zu finden. Entscheidend ist: Unrecht wird nicht ewig normal bleiben.</w:t>
      </w:r>
    </w:p>
    <w:tbl>
      <w:tblPr>
        <w:tblW w:type="auto" w:w="0"/>
        <w:jc w:val="center"/>
        <w:tblLayout w:type="fixed"/>
        <w:tblLook w:firstColumn="1" w:firstRow="1" w:lastColumn="0" w:lastRow="0" w:noHBand="0" w:noVBand="1" w:val="04A0"/>
      </w:tblPr>
      <w:tblGrid>
        <w:gridCol w:w="9468"/>
      </w:tblGrid>
      <w:tr>
        <w:tc>
          <w:tcPr>
            <w:tcW w:type="dxa" w:w="9972"/>
            <w:shd w:fill="F6F5EF"/>
            <w:tcMar>
              <w:top w:w="150" w:type="dxa"/>
              <w:start w:w="180" w:type="dxa"/>
              <w:bottom w:w="150" w:type="dxa"/>
              <w:end w:w="180" w:type="dxa"/>
            </w:tcMar>
          </w:tcPr>
          <w:p>
            <w:pPr>
              <w:spacing w:after="60"/>
            </w:pPr>
            <w:r>
              <w:rPr>
                <w:rFonts w:ascii="Noto Sans" w:hAnsi="Noto Sans"/>
                <w:b/>
                <w:color w:val="304E44"/>
                <w:sz w:val="18"/>
              </w:rPr>
              <w:t>EXEGETISCHER TIEFENPUNKT</w:t>
            </w:r>
          </w:p>
          <w:p>
            <w:pPr>
              <w:spacing w:after="0"/>
            </w:pPr>
            <w:r>
              <w:t>Exegetischer Tiefenpunkt: Der Begriff ἐκδικέω greift die Bitte der Märtyrer in 6,10 auf. Die Gemeinde vollzieht die Vergeltung nicht selbst; sie überlässt das Recht Gott.</w:t>
            </w:r>
          </w:p>
        </w:tc>
      </w:tr>
    </w:tbl>
    <w:p>
      <w:pPr>
        <w:spacing w:after="20"/>
      </w:pPr>
    </w:p>
    <w:p>
      <w:pPr>
        <w:pStyle w:val="Heading3"/>
      </w:pPr>
      <w:r>
        <w:t>Verse 4–5 – Anbetung statt Faszination</w:t>
      </w:r>
    </w:p>
    <w:p>
      <w:r>
        <w:t>Die Ältesten und die vier Lebewesen antworten mit „Amen, Halleluja“. Anschließend ergeht vom Thron der Ruf an alle Knechte Gottes, „Kleine und Große“, in den Lobpreis einzustimmen. Die Szene demokratisiert die Anbetung: Rang, Einfluss und gesellschaftliche Stellung spielen vor Gott keine Rolle.</w:t>
      </w:r>
    </w:p>
    <w:tbl>
      <w:tblPr>
        <w:tblW w:type="auto" w:w="0"/>
        <w:jc w:val="center"/>
        <w:tblLayout w:type="fixed"/>
        <w:tblLook w:firstColumn="1" w:firstRow="1" w:lastColumn="0" w:lastRow="0" w:noHBand="0" w:noVBand="1" w:val="04A0"/>
      </w:tblPr>
      <w:tblGrid>
        <w:gridCol w:w="9468"/>
      </w:tblGrid>
      <w:tr>
        <w:tc>
          <w:tcPr>
            <w:tcW w:type="dxa" w:w="9972"/>
            <w:shd w:fill="F6F5EF"/>
            <w:tcMar>
              <w:top w:w="150" w:type="dxa"/>
              <w:start w:w="180" w:type="dxa"/>
              <w:bottom w:w="150" w:type="dxa"/>
              <w:end w:w="180" w:type="dxa"/>
            </w:tcMar>
          </w:tcPr>
          <w:p>
            <w:pPr>
              <w:spacing w:after="60"/>
            </w:pPr>
            <w:r>
              <w:rPr>
                <w:rFonts w:ascii="Noto Sans" w:hAnsi="Noto Sans"/>
                <w:b/>
                <w:color w:val="304E44"/>
                <w:sz w:val="18"/>
              </w:rPr>
              <w:t>EXEGETISCHER TIEFENPUNKT</w:t>
            </w:r>
          </w:p>
          <w:p>
            <w:pPr>
              <w:spacing w:after="0"/>
            </w:pPr>
            <w:r>
              <w:t>Exegetischer Tiefenpunkt: Die Bewegung „niederfallen – anbeten – antworten“ zeigt, dass die rechte Reaktion auf Gottes Gericht nicht Neugier auf Katastrophen, sondern Gottesdienst ist.</w:t>
            </w:r>
          </w:p>
        </w:tc>
      </w:tr>
    </w:tbl>
    <w:p>
      <w:pPr>
        <w:spacing w:after="20"/>
      </w:pPr>
    </w:p>
    <w:p>
      <w:pPr>
        <w:pStyle w:val="Heading3"/>
      </w:pPr>
      <w:r>
        <w:t>Verse 6–8 – Gottes Herrschaft führt zur Hochzeit</w:t>
      </w:r>
    </w:p>
    <w:p>
      <w:r>
        <w:t>Der Klang wird gesteigert: große Menge, Wassermassen, Donner. Nun wird nicht mehr primär Babylons Ende besungen, sondern Gottes Königsherrschaft und die Hochzeit des Lammes. Der Zielpunkt ist also nicht Zerstörung, sondern Gemeinschaft. Die Braut „hat sich bereit gemacht“, zugleich „wurde ihr gegeben“, sich mit hellem Leinen zu kleiden. Gnade und verantwortete Treue gehören zusammen.</w:t>
      </w:r>
    </w:p>
    <w:tbl>
      <w:tblPr>
        <w:tblW w:type="auto" w:w="0"/>
        <w:jc w:val="center"/>
        <w:tblLayout w:type="fixed"/>
        <w:tblLook w:firstColumn="1" w:firstRow="1" w:lastColumn="0" w:lastRow="0" w:noHBand="0" w:noVBand="1" w:val="04A0"/>
      </w:tblPr>
      <w:tblGrid>
        <w:gridCol w:w="9468"/>
      </w:tblGrid>
      <w:tr>
        <w:tc>
          <w:tcPr>
            <w:tcW w:type="dxa" w:w="9972"/>
            <w:shd w:fill="F6F5EF"/>
            <w:tcMar>
              <w:top w:w="150" w:type="dxa"/>
              <w:start w:w="180" w:type="dxa"/>
              <w:bottom w:w="150" w:type="dxa"/>
              <w:end w:w="180" w:type="dxa"/>
            </w:tcMar>
          </w:tcPr>
          <w:p>
            <w:pPr>
              <w:spacing w:after="60"/>
            </w:pPr>
            <w:r>
              <w:rPr>
                <w:rFonts w:ascii="Noto Sans" w:hAnsi="Noto Sans"/>
                <w:b/>
                <w:color w:val="304E44"/>
                <w:sz w:val="18"/>
              </w:rPr>
              <w:t>EXEGETISCHER TIEFENPUNKT</w:t>
            </w:r>
          </w:p>
          <w:p>
            <w:pPr>
              <w:spacing w:after="0"/>
            </w:pPr>
            <w:r>
              <w:t>Exegetischer Tiefenpunkt: Der Gegensatz zwischen Babylon und Braut ist auch ein Gegensatz zweier „Kleider“. Babylon schmückt sich mit demonstrativem Luxus; die Braut empfängt ein Gewand, das mit gerechtem Leben verbunden wird.</w:t>
            </w:r>
          </w:p>
        </w:tc>
      </w:tr>
    </w:tbl>
    <w:p>
      <w:pPr>
        <w:spacing w:after="20"/>
      </w:pPr>
    </w:p>
    <w:p>
      <w:pPr>
        <w:pStyle w:val="Heading3"/>
      </w:pPr>
      <w:r>
        <w:t>Vers 9 – Selig sind die Geladenen</w:t>
      </w:r>
    </w:p>
    <w:p>
      <w:r>
        <w:t>Der Hymnus wird zur direkten Zusage. Die Hochzeit ist nicht nur himmlisches Bühnenbild; Menschen werden eingeladen. Die Seligpreisung macht aus der Vision eine Verheißung für hörende Gemeinden. Das Heil wird als Festmahl, Zugehörigkeit und Freude vorgestellt.</w:t>
      </w:r>
    </w:p>
    <w:tbl>
      <w:tblPr>
        <w:tblW w:type="auto" w:w="0"/>
        <w:jc w:val="center"/>
        <w:tblLayout w:type="fixed"/>
        <w:tblLook w:firstColumn="1" w:firstRow="1" w:lastColumn="0" w:lastRow="0" w:noHBand="0" w:noVBand="1" w:val="04A0"/>
      </w:tblPr>
      <w:tblGrid>
        <w:gridCol w:w="9468"/>
      </w:tblGrid>
      <w:tr>
        <w:tc>
          <w:tcPr>
            <w:tcW w:type="dxa" w:w="9972"/>
            <w:shd w:fill="F6F5EF"/>
            <w:tcMar>
              <w:top w:w="150" w:type="dxa"/>
              <w:start w:w="180" w:type="dxa"/>
              <w:bottom w:w="150" w:type="dxa"/>
              <w:end w:w="180" w:type="dxa"/>
            </w:tcMar>
          </w:tcPr>
          <w:p>
            <w:pPr>
              <w:spacing w:after="60"/>
            </w:pPr>
            <w:r>
              <w:rPr>
                <w:rFonts w:ascii="Noto Sans" w:hAnsi="Noto Sans"/>
                <w:b/>
                <w:color w:val="304E44"/>
                <w:sz w:val="18"/>
              </w:rPr>
              <w:t>EXEGETISCHER TIEFENPUNKT</w:t>
            </w:r>
          </w:p>
          <w:p>
            <w:pPr>
              <w:spacing w:after="0"/>
            </w:pPr>
            <w:r>
              <w:t>Exegetischer Tiefenpunkt: Die Bildlogik ist nicht streng systematisch – die Gemeinde kann zugleich Braut und eingeladene Festgemeinschaft sein. Apokalyptische Metaphern erschließen verschiedene Seiten derselben Heilswirklichkeit.</w:t>
            </w:r>
          </w:p>
        </w:tc>
      </w:tr>
    </w:tbl>
    <w:p>
      <w:pPr>
        <w:spacing w:after="20"/>
      </w:pPr>
    </w:p>
    <w:p>
      <w:pPr>
        <w:pStyle w:val="Heading3"/>
      </w:pPr>
      <w:r>
        <w:t>Vers 10 – „Bete Gott an!“</w:t>
      </w:r>
    </w:p>
    <w:p>
      <w:r>
        <w:t>Johannes fällt vor dem Engel nieder und wird sofort korrigiert. Gerade nach einer überwältigenden Vision setzt der Text eine scharfe Grenze: Kein himmlischer Bote, kein religiöses Erlebnis und keine prophetische Autorität darf Gottes Platz einnehmen. „Das Zeugnis Jesu ist der Geist der Prophetie“ bindet Prophetie an Christus und an das Zeugnis, das von ihm ausgeht und auf ihn verweist.</w:t>
      </w:r>
    </w:p>
    <w:tbl>
      <w:tblPr>
        <w:tblW w:type="auto" w:w="0"/>
        <w:jc w:val="center"/>
        <w:tblLayout w:type="fixed"/>
        <w:tblLook w:firstColumn="1" w:firstRow="1" w:lastColumn="0" w:lastRow="0" w:noHBand="0" w:noVBand="1" w:val="04A0"/>
      </w:tblPr>
      <w:tblGrid>
        <w:gridCol w:w="9468"/>
      </w:tblGrid>
      <w:tr>
        <w:tc>
          <w:tcPr>
            <w:tcW w:type="dxa" w:w="9972"/>
            <w:shd w:fill="F6F5EF"/>
            <w:tcMar>
              <w:top w:w="150" w:type="dxa"/>
              <w:start w:w="180" w:type="dxa"/>
              <w:bottom w:w="150" w:type="dxa"/>
              <w:end w:w="180" w:type="dxa"/>
            </w:tcMar>
          </w:tcPr>
          <w:p>
            <w:pPr>
              <w:spacing w:after="60"/>
            </w:pPr>
            <w:r>
              <w:rPr>
                <w:rFonts w:ascii="Noto Sans" w:hAnsi="Noto Sans"/>
                <w:b/>
                <w:color w:val="304E44"/>
                <w:sz w:val="18"/>
              </w:rPr>
              <w:t>EXEGETISCHER TIEFENPUNKT</w:t>
            </w:r>
          </w:p>
          <w:p>
            <w:pPr>
              <w:spacing w:after="0"/>
            </w:pPr>
            <w:r>
              <w:t>Exegetischer Tiefenpunkt: Die Szene schützt die Offenbarung vor ihrer eigenen Faszinationskraft. Der Text will nicht, dass Menschen Visionen verehren, sondern Gott.</w:t>
            </w:r>
          </w:p>
        </w:tc>
      </w:tr>
    </w:tbl>
    <w:p>
      <w:pPr>
        <w:spacing w:after="20"/>
      </w:pPr>
    </w:p>
    <w:p>
      <w:pPr>
        <w:pStyle w:val="Heading2"/>
      </w:pPr>
      <w:r>
        <w:t>1.7 Vorläufige exegetische Landkarte vor der Recherche</w:t>
      </w:r>
    </w:p>
    <w:p>
      <w:pPr>
        <w:pStyle w:val="ListNumber"/>
      </w:pPr>
      <w:r>
        <w:t>Warum darf der Himmel über Gericht jubeln, ohne dass der Text zur Schadenfreude erzieht?</w:t>
      </w:r>
    </w:p>
    <w:p>
      <w:pPr>
        <w:pStyle w:val="ListNumber"/>
      </w:pPr>
      <w:r>
        <w:t>Ist „Babylon“ primär Rom oder ein umfassenderes Symbol für verführerische Machtordnungen?</w:t>
      </w:r>
    </w:p>
    <w:p>
      <w:pPr>
        <w:pStyle w:val="ListNumber"/>
      </w:pPr>
      <w:r>
        <w:t>Wie verhalten sich Gottes Gabe („es wurde ihr gegeben“) und die „gerechten Taten“ der Heiligen zueinander?</w:t>
      </w:r>
    </w:p>
    <w:p>
      <w:pPr>
        <w:pStyle w:val="ListNumber"/>
      </w:pPr>
      <w:r>
        <w:t>Wer ist die Braut: Kirche, Israel, das endzeitliche Gottesvolk oder das neue Jerusalem?</w:t>
      </w:r>
    </w:p>
    <w:p>
      <w:pPr>
        <w:pStyle w:val="ListNumber"/>
      </w:pPr>
      <w:r>
        <w:t>Ist „Zeugnis Jesu“ in 19,10 Zeugnis von Jesus oder Zeugnis über Jesus?</w:t>
      </w:r>
    </w:p>
    <w:p>
      <w:pPr>
        <w:pStyle w:val="ListNumber"/>
      </w:pPr>
      <w:r>
        <w:t>Wie lässt sich der Text heute vermitteln, ohne aktuelle Staaten, Parteien oder Technologien vorschnell mit Babylon gleichzusetzen?</w:t>
      </w:r>
    </w:p>
    <w:p>
      <w:r>
        <w:br w:type="page"/>
      </w:r>
    </w:p>
    <w:p>
      <w:pPr>
        <w:pStyle w:val="Heading1"/>
      </w:pPr>
      <w:r>
        <w:t>2. Unabhängige Forschung und Quellenprüfung</w:t>
      </w:r>
    </w:p>
    <w:p>
      <w:pPr>
        <w:pStyle w:val="Heading2"/>
      </w:pPr>
      <w:r>
        <w:t>2.1 Recherchestrategie und Quellenstatus</w:t>
      </w:r>
    </w:p>
    <w:p>
      <w:r>
        <w:t>Die externe Recherche erfolgte erst nach der eigenen Textanalyse. Berücksichtigt wurden frei zugängliche wissenschaftliche bzw. fachwissenschaftliche Quellen und klar gekennzeichnete ältere Volltextkommentare. Nicht frei zugängliche Standardkommentare werden nur dort erwähnt, wo ihre Position in einer eingesehenen Fachpublikation transparent referiert wird.</w:t>
      </w:r>
    </w:p>
    <w:tbl>
      <w:tblPr>
        <w:tblStyle w:val="TableGrid"/>
        <w:tblW w:type="auto" w:w="0"/>
        <w:jc w:val="center"/>
        <w:tblLook w:firstColumn="1" w:firstRow="1" w:lastColumn="0" w:lastRow="0" w:noHBand="0" w:noVBand="1" w:val="04A0"/>
      </w:tblPr>
      <w:tblGrid>
        <w:gridCol w:w="3324"/>
        <w:gridCol w:w="3324"/>
        <w:gridCol w:w="3324"/>
      </w:tblGrid>
      <w:tr>
        <w:tc>
          <w:tcPr>
            <w:tcW w:type="dxa" w:w="3324"/>
            <w:shd w:fill="DDE7E1"/>
          </w:tcPr>
          <w:p>
            <w:r>
              <w:t>Quelle</w:t>
            </w:r>
          </w:p>
        </w:tc>
        <w:tc>
          <w:tcPr>
            <w:tcW w:type="dxa" w:w="3324"/>
            <w:shd w:fill="DDE7E1"/>
          </w:tcPr>
          <w:p>
            <w:r>
              <w:t>Status</w:t>
            </w:r>
          </w:p>
        </w:tc>
        <w:tc>
          <w:tcPr>
            <w:tcW w:type="dxa" w:w="3324"/>
            <w:shd w:fill="DDE7E1"/>
          </w:tcPr>
          <w:p>
            <w:r>
              <w:t>Nutzen für diese Einheit</w:t>
            </w:r>
          </w:p>
        </w:tc>
      </w:tr>
      <w:tr>
        <w:tc>
          <w:tcPr>
            <w:tcW w:type="dxa" w:w="3324"/>
          </w:tcPr>
          <w:p>
            <w:r>
              <w:t>Marcus Aurélio Alves Mareano, „The Time for the Wedding of the Lamb Has Come…“, Perspectiva Teológica 54/3 (2022), SciELO</w:t>
            </w:r>
          </w:p>
        </w:tc>
        <w:tc>
          <w:tcPr>
            <w:tcW w:type="dxa" w:w="3324"/>
          </w:tcPr>
          <w:p>
            <w:r>
              <w:t>Volltext</w:t>
            </w:r>
          </w:p>
        </w:tc>
        <w:tc>
          <w:tcPr>
            <w:tcW w:type="dxa" w:w="3324"/>
          </w:tcPr>
          <w:p>
            <w:r>
              <w:t>Literarische Struktur von 19,1–8; Halleluja-Hymnus; Textkritik 19,6–7; Braut- und Gerechtigkeitsmotiv; Forschungsreferenzen.</w:t>
            </w:r>
          </w:p>
        </w:tc>
      </w:tr>
      <w:tr>
        <w:tc>
          <w:tcPr>
            <w:tcW w:type="dxa" w:w="3324"/>
          </w:tcPr>
          <w:p>
            <w:r>
              <w:t>WiBiLex: Ulrich Huttner, „Imperium Romanum“</w:t>
            </w:r>
          </w:p>
        </w:tc>
        <w:tc>
          <w:tcPr>
            <w:tcW w:type="dxa" w:w="3324"/>
          </w:tcPr>
          <w:p>
            <w:r>
              <w:t>Volltext</w:t>
            </w:r>
          </w:p>
        </w:tc>
        <w:tc>
          <w:tcPr>
            <w:tcW w:type="dxa" w:w="3324"/>
          </w:tcPr>
          <w:p>
            <w:r>
              <w:t>Historischer Rahmen römischer Herrschaft; Kaiserkult; differenzierte Einordnung antiimperialer Deutungen der Offenbarung.</w:t>
            </w:r>
          </w:p>
        </w:tc>
      </w:tr>
      <w:tr>
        <w:tc>
          <w:tcPr>
            <w:tcW w:type="dxa" w:w="3324"/>
          </w:tcPr>
          <w:p>
            <w:r>
              <w:t>WiReLex: „Apokalyptik“</w:t>
            </w:r>
          </w:p>
        </w:tc>
        <w:tc>
          <w:tcPr>
            <w:tcW w:type="dxa" w:w="3324"/>
          </w:tcPr>
          <w:p>
            <w:r>
              <w:t>Volltext</w:t>
            </w:r>
          </w:p>
        </w:tc>
        <w:tc>
          <w:tcPr>
            <w:tcW w:type="dxa" w:w="3324"/>
          </w:tcPr>
          <w:p>
            <w:r>
              <w:t>Didaktische Leitlinie: apokalyptische Texte als Krisenhermeneutik, Hoffnungs- und Widerstandstexte; Vermeidung von Angstpädagogik.</w:t>
            </w:r>
          </w:p>
        </w:tc>
      </w:tr>
      <w:tr>
        <w:tc>
          <w:tcPr>
            <w:tcW w:type="dxa" w:w="3324"/>
          </w:tcPr>
          <w:p>
            <w:r>
              <w:t>Deutsche Bibelgesellschaft, Bibelkunde/Offenbarung 19</w:t>
            </w:r>
          </w:p>
        </w:tc>
        <w:tc>
          <w:tcPr>
            <w:tcW w:type="dxa" w:w="3324"/>
          </w:tcPr>
          <w:p>
            <w:r>
              <w:t>Volltext</w:t>
            </w:r>
          </w:p>
        </w:tc>
        <w:tc>
          <w:tcPr>
            <w:tcW w:type="dxa" w:w="3324"/>
          </w:tcPr>
          <w:p>
            <w:r>
              <w:t>Buchkontext, Abfassungsdiskussion, Verbindung von Babylon, Rom und Hochzeit des Lammes.</w:t>
            </w:r>
          </w:p>
        </w:tc>
      </w:tr>
      <w:tr>
        <w:tc>
          <w:tcPr>
            <w:tcW w:type="dxa" w:w="3324"/>
          </w:tcPr>
          <w:p>
            <w:r>
              <w:t>James Moffatt, Expositor’s Greek Testament, Revelation 19</w:t>
            </w:r>
          </w:p>
        </w:tc>
        <w:tc>
          <w:tcPr>
            <w:tcW w:type="dxa" w:w="3324"/>
          </w:tcPr>
          <w:p>
            <w:r>
              <w:t>Volltext (historischer Kommentar)</w:t>
            </w:r>
          </w:p>
        </w:tc>
        <w:tc>
          <w:tcPr>
            <w:tcW w:type="dxa" w:w="3324"/>
          </w:tcPr>
          <w:p>
            <w:r>
              <w:t>Älterer exegetischer Vergleich; Hymnus, Liturgie, Hochzeit und Anbetung.</w:t>
            </w:r>
          </w:p>
        </w:tc>
      </w:tr>
      <w:tr>
        <w:tc>
          <w:tcPr>
            <w:tcW w:type="dxa" w:w="3324"/>
          </w:tcPr>
          <w:p>
            <w:r>
              <w:t>„Re-envisioning the Church…“, Veritas 22/1 (2023)</w:t>
            </w:r>
          </w:p>
        </w:tc>
        <w:tc>
          <w:tcPr>
            <w:tcW w:type="dxa" w:w="3324"/>
          </w:tcPr>
          <w:p>
            <w:r>
              <w:t>zugängliche Textauszüge</w:t>
            </w:r>
          </w:p>
        </w:tc>
        <w:tc>
          <w:tcPr>
            <w:tcW w:type="dxa" w:w="3324"/>
          </w:tcPr>
          <w:p>
            <w:r>
              <w:t>Aktuelle Diskussion über Brautbild, Aktivität der Braut und δικαιώματα τῶν ἁγίων.</w:t>
            </w:r>
          </w:p>
        </w:tc>
      </w:tr>
      <w:tr>
        <w:tc>
          <w:tcPr>
            <w:tcW w:type="dxa" w:w="3324"/>
          </w:tcPr>
          <w:p>
            <w:r>
              <w:t>Aune, Beale, Koester, Smalley, Fekkes, Miller u. a.</w:t>
            </w:r>
          </w:p>
        </w:tc>
        <w:tc>
          <w:tcPr>
            <w:tcW w:type="dxa" w:w="3324"/>
          </w:tcPr>
          <w:p>
            <w:r>
              <w:t>nur sekundär über eingesehene Fachartikel bzw. bibliographisch</w:t>
            </w:r>
          </w:p>
        </w:tc>
        <w:tc>
          <w:tcPr>
            <w:tcW w:type="dxa" w:w="3324"/>
          </w:tcPr>
          <w:p>
            <w:r>
              <w:t>Keine Behauptung vollständiger Einsicht; dient zur Kartierung wichtiger Forschungspositionen.</w:t>
            </w:r>
          </w:p>
        </w:tc>
      </w:tr>
    </w:tbl>
    <w:p>
      <w:pPr>
        <w:pStyle w:val="Heading2"/>
      </w:pPr>
      <w:r>
        <w:t>2.2 Forschungsbefund: Konsens und Streitfragen</w:t>
      </w:r>
    </w:p>
    <w:tbl>
      <w:tblPr>
        <w:tblW w:type="auto" w:w="0"/>
        <w:jc w:val="center"/>
        <w:tblLayout w:type="fixed"/>
        <w:tblLook w:firstColumn="1" w:firstRow="1" w:lastColumn="0" w:lastRow="0" w:noHBand="0" w:noVBand="1" w:val="04A0"/>
      </w:tblPr>
      <w:tblGrid>
        <w:gridCol w:w="9468"/>
      </w:tblGrid>
      <w:tr>
        <w:tc>
          <w:tcPr>
            <w:tcW w:type="dxa" w:w="9972"/>
            <w:shd w:fill="F2F4F2"/>
            <w:tcMar>
              <w:top w:w="150" w:type="dxa"/>
              <w:start w:w="180" w:type="dxa"/>
              <w:bottom w:w="150" w:type="dxa"/>
              <w:end w:w="180" w:type="dxa"/>
            </w:tcMar>
          </w:tcPr>
          <w:p>
            <w:pPr>
              <w:spacing w:after="60"/>
            </w:pPr>
            <w:r>
              <w:rPr>
                <w:rFonts w:ascii="Noto Sans" w:hAnsi="Noto Sans"/>
                <w:b/>
                <w:color w:val="304E44"/>
                <w:sz w:val="18"/>
              </w:rPr>
              <w:t>WEITGEHENDER KONSENS</w:t>
            </w:r>
          </w:p>
          <w:p>
            <w:pPr>
              <w:spacing w:after="0"/>
            </w:pPr>
            <w:r>
              <w:t>Offenbarung 19,1–8 ist ein hymnic-doxologischer Höhepunkt, der Babylons Gericht zusammenfasst und zugleich zur Hochzeit des Lammes überleitet. Der Jubel ist theologisch auf Gottes gerechte Herrschaft bezogen, nicht auf bloße Vernichtung. Babylon ist im historischen Horizont eng mit Rom verbunden, bleibt literarisch aber ein typologisch offenes Symbol gottwidriger Macht.</w:t>
            </w:r>
          </w:p>
        </w:tc>
      </w:tr>
    </w:tbl>
    <w:p>
      <w:pPr>
        <w:spacing w:after="20"/>
      </w:pPr>
    </w:p>
    <w:p>
      <w:pPr>
        <w:pStyle w:val="Heading3"/>
      </w:pPr>
      <w:r>
        <w:t>Streitfrage A – Wie ist Babylon historisch zu bestimmen?</w:t>
      </w:r>
    </w:p>
    <w:p>
      <w:r>
        <w:t>Die dominante historische Deutung sieht Rom bzw. das römische Imperium als primären Referenzhorizont. Dafür sprechen die Verknüpfung mit den sieben Bergen, die imperiale Pracht, wirtschaftliche Vernetzung und Blutvergießen. WiBiLex mahnt jedoch, nicht jede Aussage der Offenbarung monokausal auf Rom zu reduzieren. Für die Auslegung ist deshalb eine doppelte Bewegung sinnvoll: zuerst historisch konkret lesen, dann die symbolische Reichweite beachten.</w:t>
      </w:r>
    </w:p>
    <w:p>
      <w:pPr>
        <w:pStyle w:val="Heading3"/>
      </w:pPr>
      <w:r>
        <w:t>Streitfrage B – Jubel über Gericht: Befreiung oder Gewaltproblem?</w:t>
      </w:r>
    </w:p>
    <w:p>
      <w:r>
        <w:t>Einige Lesarten betonen den Vergeltungscharakter stark; neuere Arbeiten achten stärker darauf, dass die Hymnen Gottes rettende und befreiende Herrschaft feiern. Der literarische Kontrast ist entscheidend: Kapitel 18 zeigt Klage um verlorene Macht, Luxus und Handel; Kapitel 19 antwortet mit einem Lob, das den Opfern Recht zuspricht und in eine Hochzeit mündet. Der Zielpunkt ist nicht Vernichtung, sondern eine neue Gemeinschaft unter Gottes Herrschaft.</w:t>
      </w:r>
    </w:p>
    <w:p>
      <w:pPr>
        <w:pStyle w:val="Heading3"/>
      </w:pPr>
      <w:r>
        <w:t>Streitfrage C – „gerechte Taten“ oder „Rechtfertigung“ der Heiligen?</w:t>
      </w:r>
    </w:p>
    <w:p>
      <w:r>
        <w:t>δικαίωμα kann verschiedene Nuancen tragen. Die unmittelbare Erklärung in 19,8 legt gelebte Gerechtigkeit bzw. gerechte Taten nahe. Zugleich steht davor ein göttliches Passiv: Das Kleid „wurde ihr gegeben“. Die Spannung ist theologisch fruchtbar: Die Gemeinde verdient die Hochzeit nicht; Gottes Gabe befähigt und kleidet sie, und diese Gabe wird in treuer Praxis sichtbar. Eine rein moralistische oder rein passive Deutung greift jeweils zu kurz.</w:t>
      </w:r>
    </w:p>
    <w:p>
      <w:pPr>
        <w:pStyle w:val="Heading3"/>
      </w:pPr>
      <w:r>
        <w:t>Streitfrage D – Wer ist die Braut?</w:t>
      </w:r>
    </w:p>
    <w:p>
      <w:r>
        <w:t>Die Braut steht für das endzeitliche Gottesvolk und wird in 21,2.9 mit dem neuen Jerusalem eng verbunden. Die traditionelle Identifikation mit „der Kirche“ trifft einen wichtigen Aspekt, sollte aber nicht so eng werden, dass die Kontinuität mit Israels Braut- und Bundesbildern verschwindet. Das Bild bündelt Bundesgemeinschaft, Heiligung, Hoffnung und die Vereinigung der Erlösten mit dem Lamm.</w:t>
      </w:r>
    </w:p>
    <w:p>
      <w:pPr>
        <w:pStyle w:val="Heading3"/>
      </w:pPr>
      <w:r>
        <w:t>Streitfrage E – μαρτυρία Ἰησοῦ in 19,10</w:t>
      </w:r>
    </w:p>
    <w:p>
      <w:r>
        <w:t>Die Genitivverbindung lässt objektive und subjektive Deutung zu. Die eine betont das Zeugnis über Jesus, die andere das Zeugnis, das Jesus selbst gibt. Innerhalb der Offenbarung ist eine harte Alternative unnötig: Prophetisches Zeugnis hat seinen Ursprung und sein Zentrum in Jesus Christus und führt deshalb zum Zeugnis für ihn. Sicher ist die Pointe des Satzes: Prophetie ist nicht Selbstzweck; sie steht im Dienst wahrer Gottesverehrung und des Christuszeugnisses.</w:t>
      </w:r>
    </w:p>
    <w:p>
      <w:pPr>
        <w:pStyle w:val="Heading2"/>
      </w:pPr>
      <w:r>
        <w:t>2.3 Pflichtvergleich: Phase A versus Forschung</w:t>
      </w:r>
    </w:p>
    <w:tbl>
      <w:tblPr>
        <w:tblStyle w:val="TableGrid"/>
        <w:tblW w:type="auto" w:w="0"/>
        <w:jc w:val="center"/>
        <w:tblLook w:firstColumn="1" w:firstRow="1" w:lastColumn="0" w:lastRow="0" w:noHBand="0" w:noVBand="1" w:val="04A0"/>
      </w:tblPr>
      <w:tblGrid>
        <w:gridCol w:w="3324"/>
        <w:gridCol w:w="3324"/>
        <w:gridCol w:w="3324"/>
      </w:tblGrid>
      <w:tr>
        <w:tc>
          <w:tcPr>
            <w:tcW w:type="dxa" w:w="3324"/>
            <w:shd w:fill="DDE7E1"/>
          </w:tcPr>
          <w:p>
            <w:r>
              <w:t>Aussage aus Phase A</w:t>
            </w:r>
          </w:p>
        </w:tc>
        <w:tc>
          <w:tcPr>
            <w:tcW w:type="dxa" w:w="3324"/>
            <w:shd w:fill="DDE7E1"/>
          </w:tcPr>
          <w:p>
            <w:r>
              <w:t>Bewertung</w:t>
            </w:r>
          </w:p>
        </w:tc>
        <w:tc>
          <w:tcPr>
            <w:tcW w:type="dxa" w:w="3324"/>
            <w:shd w:fill="DDE7E1"/>
          </w:tcPr>
          <w:p>
            <w:r>
              <w:t>Präzisierung nach Forschung</w:t>
            </w:r>
          </w:p>
        </w:tc>
      </w:tr>
      <w:tr>
        <w:tc>
          <w:tcPr>
            <w:tcW w:type="dxa" w:w="3324"/>
          </w:tcPr>
          <w:p>
            <w:r>
              <w:t>19,1–8 ist ein Halleluja-Hymnus und 19,9–10 bildet einen Abschluss.</w:t>
            </w:r>
          </w:p>
        </w:tc>
        <w:tc>
          <w:tcPr>
            <w:tcW w:type="dxa" w:w="3324"/>
          </w:tcPr>
          <w:p>
            <w:r>
              <w:t>stark bestätigt</w:t>
            </w:r>
          </w:p>
        </w:tc>
        <w:tc>
          <w:tcPr>
            <w:tcW w:type="dxa" w:w="3324"/>
          </w:tcPr>
          <w:p>
            <w:r>
              <w:t>Die Forschung diskutiert alternative Grenzziehungen, doch diese Gliederung ist sehr gut begründbar.</w:t>
            </w:r>
          </w:p>
        </w:tc>
      </w:tr>
      <w:tr>
        <w:tc>
          <w:tcPr>
            <w:tcW w:type="dxa" w:w="3324"/>
          </w:tcPr>
          <w:p>
            <w:r>
              <w:t>Babylon steht historisch für Rom.</w:t>
            </w:r>
          </w:p>
        </w:tc>
        <w:tc>
          <w:tcPr>
            <w:tcW w:type="dxa" w:w="3324"/>
          </w:tcPr>
          <w:p>
            <w:r>
              <w:t>überwiegend bestätigt</w:t>
            </w:r>
          </w:p>
        </w:tc>
        <w:tc>
          <w:tcPr>
            <w:tcW w:type="dxa" w:w="3324"/>
          </w:tcPr>
          <w:p>
            <w:r>
              <w:t>Primärreferenz Rom; dennoch Symbol mit weiterem theologischen Horizont.</w:t>
            </w:r>
          </w:p>
        </w:tc>
      </w:tr>
      <w:tr>
        <w:tc>
          <w:tcPr>
            <w:tcW w:type="dxa" w:w="3324"/>
          </w:tcPr>
          <w:p>
            <w:r>
              <w:t>Der Jubel gilt dem Ende des Unrechts, nicht dem Leid von Menschen.</w:t>
            </w:r>
          </w:p>
        </w:tc>
        <w:tc>
          <w:tcPr>
            <w:tcW w:type="dxa" w:w="3324"/>
          </w:tcPr>
          <w:p>
            <w:r>
              <w:t>stark bestätigt</w:t>
            </w:r>
          </w:p>
        </w:tc>
        <w:tc>
          <w:tcPr>
            <w:tcW w:type="dxa" w:w="3324"/>
          </w:tcPr>
          <w:p>
            <w:r>
              <w:t>Literarischer Zielpunkt ist Gottes befreiende Herrschaft und die Hochzeit.</w:t>
            </w:r>
          </w:p>
        </w:tc>
      </w:tr>
      <w:tr>
        <w:tc>
          <w:tcPr>
            <w:tcW w:type="dxa" w:w="3324"/>
          </w:tcPr>
          <w:p>
            <w:r>
              <w:t>Gabe Gottes und gerechte Praxis gehören in 19,8 zusammen.</w:t>
            </w:r>
          </w:p>
        </w:tc>
        <w:tc>
          <w:tcPr>
            <w:tcW w:type="dxa" w:w="3324"/>
          </w:tcPr>
          <w:p>
            <w:r>
              <w:t>überwiegend bestätigt</w:t>
            </w:r>
          </w:p>
        </w:tc>
        <w:tc>
          <w:tcPr>
            <w:tcW w:type="dxa" w:w="3324"/>
          </w:tcPr>
          <w:p>
            <w:r>
              <w:t>Die genaue Semantik von δικαιώματα bleibt diskutiert; beide Dimensionen müssen gewahrt werden.</w:t>
            </w:r>
          </w:p>
        </w:tc>
      </w:tr>
      <w:tr>
        <w:tc>
          <w:tcPr>
            <w:tcW w:type="dxa" w:w="3324"/>
          </w:tcPr>
          <w:p>
            <w:r>
              <w:t>„Zeugnis Jesu“ lässt zwei grammatische Deutungen zu.</w:t>
            </w:r>
          </w:p>
        </w:tc>
        <w:tc>
          <w:tcPr>
            <w:tcW w:type="dxa" w:w="3324"/>
          </w:tcPr>
          <w:p>
            <w:r>
              <w:t>stark bestätigt</w:t>
            </w:r>
          </w:p>
        </w:tc>
        <w:tc>
          <w:tcPr>
            <w:tcW w:type="dxa" w:w="3324"/>
          </w:tcPr>
          <w:p>
            <w:r>
              <w:t>Die Forschung ist geteilt; eine christologische Synthese ist textgemäß, solange die Ambiguität benannt bleibt.</w:t>
            </w:r>
          </w:p>
        </w:tc>
      </w:tr>
      <w:tr>
        <w:tc>
          <w:tcPr>
            <w:tcW w:type="dxa" w:w="3324"/>
          </w:tcPr>
          <w:p>
            <w:r>
              <w:t>Apokalyptik soll nicht als Zukunftsfahrplan vermittelt werden.</w:t>
            </w:r>
          </w:p>
        </w:tc>
        <w:tc>
          <w:tcPr>
            <w:tcW w:type="dxa" w:w="3324"/>
          </w:tcPr>
          <w:p>
            <w:r>
              <w:t>stark bestätigt</w:t>
            </w:r>
          </w:p>
        </w:tc>
        <w:tc>
          <w:tcPr>
            <w:tcW w:type="dxa" w:w="3324"/>
          </w:tcPr>
          <w:p>
            <w:r>
              <w:t>WiReLex betont Hoffnungs-, Widerstands- und Transformationspotenzial sowie die Notwendigkeit, Angst- und Vereindeutigungsdynamiken einzuhegen.</w:t>
            </w:r>
          </w:p>
        </w:tc>
      </w:tr>
    </w:tbl>
    <w:p>
      <w:r>
        <w:br w:type="page"/>
      </w:r>
    </w:p>
    <w:p>
      <w:pPr>
        <w:pStyle w:val="Heading1"/>
      </w:pPr>
      <w:r>
        <w:t>3. Geprüfte exegetische Synthese</w:t>
      </w:r>
    </w:p>
    <w:p>
      <w:pPr>
        <w:pStyle w:val="Heading2"/>
      </w:pPr>
      <w:r>
        <w:t>3.1 Korrigierte exegetische Landkarte</w:t>
      </w:r>
    </w:p>
    <w:p>
      <w:pPr>
        <w:pStyle w:val="ListNumber"/>
      </w:pPr>
      <w:r>
        <w:t>Offenbarung 19,1–10 ist die himmlische Gegenstimme zu den Klagen über Babylon: Was auf Erden als Verlust von Macht und Luxus beklagt wird, erscheint im Himmel als Befreiung vom Unrecht.</w:t>
      </w:r>
    </w:p>
    <w:p>
      <w:pPr>
        <w:pStyle w:val="ListNumber"/>
      </w:pPr>
      <w:r>
        <w:t>Der Text interpretiert Gericht als Gottes Rechtschaffen: Er hört den Schrei der Opfer und beendet eine zerstörerische Ordnung.</w:t>
      </w:r>
    </w:p>
    <w:p>
      <w:pPr>
        <w:pStyle w:val="ListNumber"/>
      </w:pPr>
      <w:r>
        <w:t>Der eigentliche Höhepunkt liegt nicht im Untergang Babylons, sondern in Gottes Herrschaft und der Hochzeit des Lammes.</w:t>
      </w:r>
    </w:p>
    <w:p>
      <w:pPr>
        <w:pStyle w:val="ListNumber"/>
      </w:pPr>
      <w:r>
        <w:t>Die Braut wird zugleich als handelnd („sie hat sich bereitet“) und beschenkt („es wurde ihr gegeben“) beschrieben. Christliche Ethik ist Antwort auf Gnade.</w:t>
      </w:r>
    </w:p>
    <w:p>
      <w:pPr>
        <w:pStyle w:val="ListNumber"/>
      </w:pPr>
      <w:r>
        <w:t>Die Vision endet mit einer Anbetungskorrektur. Selbst religiöse Faszination kann fehlgehen. Gottesdienst und Prophetie bleiben auf Gott und das Zeugnis Jesu ausgerichtet.</w:t>
      </w:r>
    </w:p>
    <w:p>
      <w:pPr>
        <w:pStyle w:val="Heading2"/>
      </w:pPr>
      <w:r>
        <w:t>3.2 Theologische Hauptaussagen</w:t>
      </w:r>
    </w:p>
    <w:p>
      <w:r>
        <w:rPr>
          <w:b/>
        </w:rPr>
        <w:t xml:space="preserve">Gottesbild: </w:t>
      </w:r>
      <w:r>
        <w:t>Gott ist Richter, aber sein Gericht dient der Wahrheit, dem Recht der Opfer und der Durchsetzung seiner heilvollen Herrschaft. Seine Souveränität ist keine Konkurrenz zur Freiheit, sondern das Ende zerstörerischer Mächte.</w:t>
      </w:r>
    </w:p>
    <w:p>
      <w:r>
        <w:rPr>
          <w:b/>
        </w:rPr>
        <w:t xml:space="preserve">Christologie: </w:t>
      </w:r>
      <w:r>
        <w:t>Das Lamm ist die Mitte der Zukunft. Der Gekreuzigte erscheint nicht als Nachahmer imperialer Gewalt, sondern als Bräutigam, der Gemeinschaft schafft. Die Zukunft wird als Hochzeit, nicht als Triumphparade des Stärkeren, verdichtet.</w:t>
      </w:r>
    </w:p>
    <w:p>
      <w:r>
        <w:rPr>
          <w:b/>
        </w:rPr>
        <w:t xml:space="preserve">Gemeinde: </w:t>
      </w:r>
      <w:r>
        <w:t>Die Gemeinde wird als Braut und Festgemeinschaft beschrieben. Sie lebt aus einer Gabe und wird zugleich zur Treue gerufen. Ihre Identität entsteht nicht aus gesellschaftlicher Dominanz, sondern aus Zugehörigkeit zum Lamm.</w:t>
      </w:r>
    </w:p>
    <w:p>
      <w:r>
        <w:rPr>
          <w:b/>
        </w:rPr>
        <w:t xml:space="preserve">Sünde und Böses: </w:t>
      </w:r>
      <w:r>
        <w:t>Babylon ist ein Systembild: Verführung, Götzendienst, Gewalt, wirtschaftliche Ausbeutung und Selbsterhöhung greifen ineinander. Das Böse wirkt attraktiv, bevor es zerstörerisch sichtbar wird.</w:t>
      </w:r>
    </w:p>
    <w:p>
      <w:r>
        <w:rPr>
          <w:b/>
        </w:rPr>
        <w:t xml:space="preserve">Hoffnung: </w:t>
      </w:r>
      <w:r>
        <w:t>Das Ende ist nicht Leere, sondern Gemeinschaft. Gericht und Heil sind im Text nicht zwei voneinander getrennte Themen: Das Ende des Unterdrückenden öffnet Raum für Gottes Fest.</w:t>
      </w:r>
    </w:p>
    <w:p>
      <w:r>
        <w:rPr>
          <w:b/>
        </w:rPr>
        <w:t xml:space="preserve">Anbetung und Prophetie: </w:t>
      </w:r>
      <w:r>
        <w:t>Wahre Prophetie führt nicht zu Personenkult oder Sensationslust. Sie bezeugt Jesus und richtet Anbetung auf Gott.</w:t>
      </w:r>
    </w:p>
    <w:tbl>
      <w:tblPr>
        <w:tblW w:type="auto" w:w="0"/>
        <w:jc w:val="center"/>
        <w:tblLayout w:type="fixed"/>
        <w:tblLook w:firstColumn="1" w:firstRow="1" w:lastColumn="0" w:lastRow="0" w:noHBand="0" w:noVBand="1" w:val="04A0"/>
      </w:tblPr>
      <w:tblGrid>
        <w:gridCol w:w="9468"/>
      </w:tblGrid>
      <w:tr>
        <w:tc>
          <w:tcPr>
            <w:tcW w:type="dxa" w:w="9972"/>
            <w:shd w:fill="F2F4F2"/>
            <w:tcMar>
              <w:top w:w="150" w:type="dxa"/>
              <w:start w:w="180" w:type="dxa"/>
              <w:bottom w:w="150" w:type="dxa"/>
              <w:end w:w="180" w:type="dxa"/>
            </w:tcMar>
          </w:tcPr>
          <w:p>
            <w:pPr>
              <w:spacing w:after="60"/>
            </w:pPr>
            <w:r>
              <w:rPr>
                <w:rFonts w:ascii="Noto Sans" w:hAnsi="Noto Sans"/>
                <w:b/>
                <w:color w:val="304E44"/>
                <w:sz w:val="18"/>
              </w:rPr>
              <w:t>WO LIEGT DAS EVANGELIUM?</w:t>
            </w:r>
          </w:p>
          <w:p>
            <w:pPr>
              <w:spacing w:after="0"/>
            </w:pPr>
            <w:r>
              <w:t>Bevor der Text die Gemeinde zu Treue, gerechten Taten und Anbetung ruft, handelt Gott: Er schafft Recht, setzt dem Bösen eine Grenze, richtet seine Herrschaft auf und lädt zum Hochzeitsmahl des Lammes ein. Die Zukunft hängt nicht an unserer Fähigkeit, Babylon zu besiegen, sondern an Gottes Treue und am Lamm.</w:t>
            </w:r>
          </w:p>
        </w:tc>
      </w:tr>
    </w:tbl>
    <w:p>
      <w:pPr>
        <w:spacing w:after="20"/>
      </w:pPr>
    </w:p>
    <w:tbl>
      <w:tblPr>
        <w:tblW w:type="auto" w:w="0"/>
        <w:jc w:val="center"/>
        <w:tblLayout w:type="fixed"/>
        <w:tblLook w:firstColumn="1" w:firstRow="1" w:lastColumn="0" w:lastRow="0" w:noHBand="0" w:noVBand="1" w:val="04A0"/>
      </w:tblPr>
      <w:tblGrid>
        <w:gridCol w:w="9468"/>
      </w:tblGrid>
      <w:tr>
        <w:tc>
          <w:tcPr>
            <w:tcW w:type="dxa" w:w="9972"/>
            <w:shd w:fill="F2F4F2"/>
            <w:tcMar>
              <w:top w:w="150" w:type="dxa"/>
              <w:start w:w="180" w:type="dxa"/>
              <w:bottom w:w="150" w:type="dxa"/>
              <w:end w:w="180" w:type="dxa"/>
            </w:tcMar>
          </w:tcPr>
          <w:p>
            <w:pPr>
              <w:spacing w:after="60"/>
            </w:pPr>
            <w:r>
              <w:rPr>
                <w:rFonts w:ascii="Noto Sans" w:hAnsi="Noto Sans"/>
                <w:b/>
                <w:color w:val="304E44"/>
                <w:sz w:val="18"/>
              </w:rPr>
              <w:t>EXEGETISCHER SKOPUS</w:t>
            </w:r>
          </w:p>
          <w:p>
            <w:pPr>
              <w:spacing w:after="0"/>
            </w:pPr>
            <w:r>
              <w:t>Offenbarung 19,1–10 deutet den Fall Babylons aus der Perspektive des Himmels als gerechtes und befreiendes Handeln Gottes. Der Hymnus führt vom Ende einer verführerischen Machtordnung zur sichtbaren Königsherrschaft Gottes und zur Hochzeit des Lammes. Die Gemeinde wird als beschenkte und zugleich zur Treue gerufene Braut in diese Zukunft hineingenommen.</w:t>
            </w:r>
          </w:p>
        </w:tc>
      </w:tr>
    </w:tbl>
    <w:p>
      <w:pPr>
        <w:spacing w:after="20"/>
      </w:pPr>
    </w:p>
    <w:tbl>
      <w:tblPr>
        <w:tblW w:type="auto" w:w="0"/>
        <w:jc w:val="center"/>
        <w:tblLayout w:type="fixed"/>
        <w:tblLook w:firstColumn="1" w:firstRow="1" w:lastColumn="0" w:lastRow="0" w:noHBand="0" w:noVBand="1" w:val="04A0"/>
      </w:tblPr>
      <w:tblGrid>
        <w:gridCol w:w="9468"/>
      </w:tblGrid>
      <w:tr>
        <w:tc>
          <w:tcPr>
            <w:tcW w:type="dxa" w:w="9972"/>
            <w:shd w:fill="E8EDE9"/>
            <w:tcMar>
              <w:top w:w="150" w:type="dxa"/>
              <w:start w:w="180" w:type="dxa"/>
              <w:bottom w:w="150" w:type="dxa"/>
              <w:end w:w="180" w:type="dxa"/>
            </w:tcMar>
          </w:tcPr>
          <w:p>
            <w:pPr>
              <w:spacing w:after="60"/>
            </w:pPr>
            <w:r>
              <w:rPr>
                <w:rFonts w:ascii="Noto Sans" w:hAnsi="Noto Sans"/>
                <w:b/>
                <w:color w:val="304E44"/>
                <w:sz w:val="18"/>
              </w:rPr>
              <w:t>HOMILETISCHER SKOPUS</w:t>
            </w:r>
          </w:p>
          <w:p>
            <w:pPr>
              <w:spacing w:after="0"/>
            </w:pPr>
            <w:r>
              <w:t>Weil Gott dem Unrecht ein Ende setzt und uns zum Fest des Lammes ruft, müssen wir uns von den glänzenden „Babylons“ dieser Welt nicht bestimmen lassen, sondern dürfen schon heute treu, hoffnungsvoll und anbetend leben.</w:t>
            </w:r>
          </w:p>
        </w:tc>
      </w:tr>
    </w:tbl>
    <w:p>
      <w:pPr>
        <w:spacing w:after="20"/>
      </w:pPr>
    </w:p>
    <w:p>
      <w:pPr>
        <w:pStyle w:val="Heading1"/>
      </w:pPr>
      <w:r>
        <w:t>4. Brücke zur Gemeinde</w:t>
      </w:r>
    </w:p>
    <w:p>
      <w:pPr>
        <w:pStyle w:val="Heading2"/>
      </w:pPr>
      <w:r>
        <w:t>4.1 Drei Erkenntnisse zum Mitnehmen</w:t>
      </w:r>
    </w:p>
    <w:p>
      <w:pPr>
        <w:pStyle w:val="ListNumber"/>
      </w:pPr>
      <w:r>
        <w:t>Gottes Gericht bedeutet: Unrecht bleibt nicht ewig normal. Das ist zuerst Hoffnung für Bedrängte, nicht Drohung für Neugierige.</w:t>
      </w:r>
    </w:p>
    <w:p>
      <w:pPr>
        <w:pStyle w:val="ListNumber"/>
      </w:pPr>
      <w:r>
        <w:t>Die Zukunft Gottes hat die Form eines Festes. Das Lamm führt seine Gemeinde nicht in Angst, sondern in Gemeinschaft, Freude und neue Würde.</w:t>
      </w:r>
    </w:p>
    <w:p>
      <w:pPr>
        <w:pStyle w:val="ListNumber"/>
      </w:pPr>
      <w:r>
        <w:t>Wahre Anbetung schützt vor falscher Faszination. Auch religiöse Erlebnisse, starke Persönlichkeiten und große Systeme dürfen nicht den Platz Gottes einnehmen.</w:t>
      </w:r>
    </w:p>
    <w:tbl>
      <w:tblPr>
        <w:tblW w:type="auto" w:w="0"/>
        <w:jc w:val="center"/>
        <w:tblLayout w:type="fixed"/>
        <w:tblLook w:firstColumn="1" w:firstRow="1" w:lastColumn="0" w:lastRow="0" w:noHBand="0" w:noVBand="1" w:val="04A0"/>
      </w:tblPr>
      <w:tblGrid>
        <w:gridCol w:w="9468"/>
      </w:tblGrid>
      <w:tr>
        <w:tc>
          <w:tcPr>
            <w:tcW w:type="dxa" w:w="9972"/>
            <w:shd w:fill="F2F4F2"/>
            <w:tcMar>
              <w:top w:w="150" w:type="dxa"/>
              <w:start w:w="180" w:type="dxa"/>
              <w:bottom w:w="150" w:type="dxa"/>
              <w:end w:w="180" w:type="dxa"/>
            </w:tcMar>
          </w:tcPr>
          <w:p>
            <w:pPr>
              <w:spacing w:after="60"/>
            </w:pPr>
            <w:r>
              <w:rPr>
                <w:rFonts w:ascii="Noto Sans" w:hAnsi="Noto Sans"/>
                <w:b/>
                <w:color w:val="304E44"/>
                <w:sz w:val="18"/>
              </w:rPr>
              <w:t>SCHLÜSSELBILD</w:t>
            </w:r>
          </w:p>
          <w:p>
            <w:pPr>
              <w:spacing w:after="0"/>
            </w:pPr>
            <w:r>
              <w:t>Der Wechsel vom Rauch Babylons zum Hochzeitsgewand der Braut: Das eine steht für eine Welt, die sich mit Macht und Luxus schmückt; das andere für eine von Gott geschenkte und in Treue gelebte neue Identität.</w:t>
            </w:r>
          </w:p>
        </w:tc>
      </w:tr>
    </w:tbl>
    <w:p>
      <w:pPr>
        <w:spacing w:after="20"/>
      </w:pPr>
    </w:p>
    <w:tbl>
      <w:tblPr>
        <w:tblW w:type="auto" w:w="0"/>
        <w:jc w:val="center"/>
        <w:tblLayout w:type="fixed"/>
        <w:tblLook w:firstColumn="1" w:firstRow="1" w:lastColumn="0" w:lastRow="0" w:noHBand="0" w:noVBand="1" w:val="04A0"/>
      </w:tblPr>
      <w:tblGrid>
        <w:gridCol w:w="9468"/>
      </w:tblGrid>
      <w:tr>
        <w:tc>
          <w:tcPr>
            <w:tcW w:type="dxa" w:w="9972"/>
            <w:shd w:fill="F6F5EF"/>
            <w:tcMar>
              <w:top w:w="150" w:type="dxa"/>
              <w:start w:w="180" w:type="dxa"/>
              <w:bottom w:w="150" w:type="dxa"/>
              <w:end w:w="180" w:type="dxa"/>
            </w:tcMar>
          </w:tcPr>
          <w:p>
            <w:pPr>
              <w:spacing w:after="60"/>
            </w:pPr>
            <w:r>
              <w:rPr>
                <w:rFonts w:ascii="Noto Sans" w:hAnsi="Noto Sans"/>
                <w:b/>
                <w:color w:val="304E44"/>
                <w:sz w:val="18"/>
              </w:rPr>
              <w:t>LEITFRAGE</w:t>
            </w:r>
          </w:p>
          <w:p>
            <w:pPr>
              <w:spacing w:after="0"/>
            </w:pPr>
            <w:r>
              <w:t>Was verändert sich, wenn ich die Zukunft nicht von den „Babylons“ dieser Welt her denke, sondern von der Hochzeit des Lammes?</w:t>
            </w:r>
          </w:p>
        </w:tc>
      </w:tr>
    </w:tbl>
    <w:p>
      <w:pPr>
        <w:spacing w:after="20"/>
      </w:pPr>
    </w:p>
    <w:p>
      <w:pPr>
        <w:pStyle w:val="Heading2"/>
      </w:pPr>
      <w:r>
        <w:t>4.2 Was braucht die Gemeinde wirklich?</w:t>
      </w:r>
    </w:p>
    <w:tbl>
      <w:tblPr>
        <w:tblStyle w:val="TableGrid"/>
        <w:tblW w:type="auto" w:w="0"/>
        <w:tblLook w:firstColumn="1" w:firstRow="1" w:lastColumn="0" w:lastRow="0" w:noHBand="0" w:noVBand="1" w:val="04A0"/>
      </w:tblPr>
      <w:tblGrid>
        <w:gridCol w:w="4986"/>
        <w:gridCol w:w="4986"/>
      </w:tblGrid>
      <w:tr>
        <w:tc>
          <w:tcPr>
            <w:tcW w:type="dxa" w:w="4986"/>
            <w:shd w:fill="DDE7E1"/>
          </w:tcPr>
          <w:p>
            <w:r>
              <w:t>Ebene</w:t>
            </w:r>
          </w:p>
        </w:tc>
        <w:tc>
          <w:tcPr>
            <w:tcW w:type="dxa" w:w="4986"/>
            <w:shd w:fill="DDE7E1"/>
          </w:tcPr>
          <w:p>
            <w:r>
              <w:t>Inhalt</w:t>
            </w:r>
          </w:p>
        </w:tc>
      </w:tr>
      <w:tr>
        <w:tc>
          <w:tcPr>
            <w:tcW w:type="dxa" w:w="4986"/>
          </w:tcPr>
          <w:p>
            <w:r>
              <w:t>Unbedingt</w:t>
            </w:r>
          </w:p>
        </w:tc>
        <w:tc>
          <w:tcPr>
            <w:tcW w:type="dxa" w:w="4986"/>
          </w:tcPr>
          <w:p>
            <w:r>
              <w:t>Babylon ist Symbol einer verführerischen Machtordnung; Gott schafft Recht; Ziel ist die Hochzeit des Lammes; Anbetung gehört Gott allein.</w:t>
            </w:r>
          </w:p>
        </w:tc>
      </w:tr>
      <w:tr>
        <w:tc>
          <w:tcPr>
            <w:tcW w:type="dxa" w:w="4986"/>
          </w:tcPr>
          <w:p>
            <w:r>
              <w:t>Hilfreich</w:t>
            </w:r>
          </w:p>
        </w:tc>
        <w:tc>
          <w:tcPr>
            <w:tcW w:type="dxa" w:w="4986"/>
          </w:tcPr>
          <w:p>
            <w:r>
              <w:t>Rom als historischer Hintergrund; Halleluja-Tradition; Spannung von Gabe und „gerechten Taten“; Brautbild aus Jesaja/Hosea.</w:t>
            </w:r>
          </w:p>
        </w:tc>
      </w:tr>
      <w:tr>
        <w:tc>
          <w:tcPr>
            <w:tcW w:type="dxa" w:w="4986"/>
          </w:tcPr>
          <w:p>
            <w:r>
              <w:t>Nur Leitungshintergrund</w:t>
            </w:r>
          </w:p>
        </w:tc>
        <w:tc>
          <w:tcPr>
            <w:tcW w:type="dxa" w:w="4986"/>
          </w:tcPr>
          <w:p>
            <w:r>
              <w:t>Textkritische Varianten in 19,6–7; Detaildiskussion zum Genitiv μαρτυρία Ἰησοῦ; Forschungsdebatten zur genauen Abgrenzung der Perikope.</w:t>
            </w:r>
          </w:p>
        </w:tc>
      </w:tr>
    </w:tbl>
    <w:p>
      <w:r>
        <w:br w:type="page"/>
      </w:r>
    </w:p>
    <w:p>
      <w:pPr>
        <w:pStyle w:val="Heading1"/>
      </w:pPr>
      <w:r>
        <w:t>5. Fertige dialogische Bibelarbeit</w:t>
      </w:r>
    </w:p>
    <w:tbl>
      <w:tblPr>
        <w:tblW w:type="auto" w:w="0"/>
        <w:jc w:val="center"/>
        <w:tblLayout w:type="fixed"/>
        <w:tblLook w:firstColumn="1" w:firstRow="1" w:lastColumn="0" w:lastRow="0" w:noHBand="0" w:noVBand="1" w:val="04A0"/>
      </w:tblPr>
      <w:tblGrid>
        <w:gridCol w:w="9468"/>
      </w:tblGrid>
      <w:tr>
        <w:tc>
          <w:tcPr>
            <w:tcW w:type="dxa" w:w="9972"/>
            <w:shd w:fill="F2F4F2"/>
            <w:tcMar>
              <w:top w:w="150" w:type="dxa"/>
              <w:start w:w="180" w:type="dxa"/>
              <w:bottom w:w="150" w:type="dxa"/>
              <w:end w:w="180" w:type="dxa"/>
            </w:tcMar>
          </w:tcPr>
          <w:p>
            <w:pPr>
              <w:spacing w:after="60"/>
            </w:pPr>
            <w:r>
              <w:rPr>
                <w:rFonts w:ascii="Noto Sans" w:hAnsi="Noto Sans"/>
                <w:b/>
                <w:color w:val="304E44"/>
                <w:sz w:val="18"/>
              </w:rPr>
              <w:t>ZIEL</w:t>
            </w:r>
          </w:p>
          <w:p>
            <w:pPr>
              <w:spacing w:after="0"/>
            </w:pPr>
            <w:r>
              <w:t>Die Teilnehmenden entdecken Offenbarung 19,1–10 als Hoffnungs- und Widerstandstext: Gott beendet zerstörerische Macht, lädt zum Fest des Lammes und richtet Anbetung neu aus.</w:t>
            </w:r>
          </w:p>
        </w:tc>
      </w:tr>
    </w:tbl>
    <w:p>
      <w:pPr>
        <w:spacing w:after="20"/>
      </w:pPr>
    </w:p>
    <w:p>
      <w:pPr>
        <w:pStyle w:val="Heading2"/>
      </w:pPr>
      <w:r>
        <w:t>5.1 Einstieg – Zwei Nachrichten über dasselbe Ereignis</w:t>
      </w:r>
    </w:p>
    <w:p>
      <w:r>
        <w:t>Stelle zwei kurze Schlagzeilen nebeneinander: „Wirtschaftsmacht bricht zusammen – Märkte in Panik“ und „System der Ausbeutung beendet – Betroffene atmen auf“. Dasselbe Ereignis kann je nach Standort völlig verschieden klingen. Genau so arbeitet Offenbarung 18–19: Die Erde klagt über Babylons Fall; der Himmel singt Halleluja.</w:t>
      </w:r>
    </w:p>
    <w:p>
      <w:r>
        <w:t>Kurzer Austausch zu zweit: „Wann kann das Ende von etwas zugleich Verlust und Befreiung sein?“ Anschließend zwei bis drei Stimmen sammeln.</w:t>
      </w:r>
    </w:p>
    <w:tbl>
      <w:tblPr>
        <w:tblW w:type="auto" w:w="0"/>
        <w:jc w:val="center"/>
        <w:tblLayout w:type="fixed"/>
        <w:tblLook w:firstColumn="1" w:firstRow="1" w:lastColumn="0" w:lastRow="0" w:noHBand="0" w:noVBand="1" w:val="04A0"/>
      </w:tblPr>
      <w:tblGrid>
        <w:gridCol w:w="9468"/>
      </w:tblGrid>
      <w:tr>
        <w:tc>
          <w:tcPr>
            <w:tcW w:type="dxa" w:w="9972"/>
            <w:shd w:fill="F2F4F2"/>
            <w:tcMar>
              <w:top w:w="150" w:type="dxa"/>
              <w:start w:w="180" w:type="dxa"/>
              <w:bottom w:w="150" w:type="dxa"/>
              <w:end w:w="180" w:type="dxa"/>
            </w:tcMar>
          </w:tcPr>
          <w:p>
            <w:pPr>
              <w:spacing w:after="60"/>
            </w:pPr>
            <w:r>
              <w:rPr>
                <w:rFonts w:ascii="Noto Sans" w:hAnsi="Noto Sans"/>
                <w:b/>
                <w:color w:val="304E44"/>
                <w:sz w:val="18"/>
              </w:rPr>
              <w:t>LEITFRAGE FÜR DEN ABEND</w:t>
            </w:r>
          </w:p>
          <w:p>
            <w:pPr>
              <w:spacing w:after="0"/>
            </w:pPr>
            <w:r>
              <w:t>Was verändert sich, wenn wir Gottes Gericht nicht als Lust am Untergang, sondern als Ende von Unrecht und Beginn von Gemeinschaft lesen?</w:t>
            </w:r>
          </w:p>
        </w:tc>
      </w:tr>
    </w:tbl>
    <w:p>
      <w:pPr>
        <w:spacing w:after="20"/>
      </w:pPr>
    </w:p>
    <w:p>
      <w:pPr>
        <w:pStyle w:val="Heading2"/>
      </w:pPr>
      <w:r>
        <w:t>5.2 Textlesung</w:t>
      </w:r>
    </w:p>
    <w:p>
      <w:r>
        <w:t>Textlesung: Offenbarung 19,1–10 aus der BasisBibel. Der Volltext wird hier aus urheberrechtlichen Gründen nicht abgedruckt.</w:t>
      </w:r>
    </w:p>
    <w:p>
      <w:r>
        <w:rPr>
          <w:b/>
        </w:rPr>
        <w:t xml:space="preserve">Beobachtungsfrage vor der Lesung: </w:t>
      </w:r>
      <w:r>
        <w:t>„Achtet beim Hören darauf: Wofür genau wird Gott gelobt – und wohin führt der Jubel?“</w:t>
      </w:r>
    </w:p>
    <w:p>
      <w:pPr>
        <w:pStyle w:val="Heading2"/>
      </w:pPr>
      <w:r>
        <w:t>I. Wenn eine glänzende Welt fällt</w:t>
      </w:r>
    </w:p>
    <w:p>
      <w:r>
        <w:rPr>
          <w:b/>
          <w:color w:val="3A534A"/>
        </w:rPr>
        <w:t>Offenbarung 19,1–3</w:t>
      </w:r>
    </w:p>
    <w:p>
      <w:r>
        <w:t>Kapitel 18 war voller Klagen. Könige, Kaufleute und Seefahrer trauern, weil ihre Welt von Einfluss, Luxus und Profit zusammenbricht. Kapitel 19 wechselt die Perspektive. Im Himmel heißt es nicht „Schade um Babylon“, sondern „Halleluja“. Der Grund ist nicht Freude an Ruinen, sondern Gottes Wahrheit und Gerechtigkeit. Babylon wird dafür verantwortlich gemacht, Menschen verführt und Blut vergossen zu haben.</w:t>
      </w:r>
    </w:p>
    <w:tbl>
      <w:tblPr>
        <w:tblW w:type="auto" w:w="0"/>
        <w:jc w:val="center"/>
        <w:tblLayout w:type="fixed"/>
        <w:tblLook w:firstColumn="1" w:firstRow="1" w:lastColumn="0" w:lastRow="0" w:noHBand="0" w:noVBand="1" w:val="04A0"/>
      </w:tblPr>
      <w:tblGrid>
        <w:gridCol w:w="9468"/>
      </w:tblGrid>
      <w:tr>
        <w:tc>
          <w:tcPr>
            <w:tcW w:type="dxa" w:w="9972"/>
            <w:shd w:fill="F6F5EF"/>
            <w:tcMar>
              <w:top w:w="150" w:type="dxa"/>
              <w:start w:w="180" w:type="dxa"/>
              <w:bottom w:w="150" w:type="dxa"/>
              <w:end w:w="180" w:type="dxa"/>
            </w:tcMar>
          </w:tcPr>
          <w:p>
            <w:pPr>
              <w:spacing w:after="60"/>
            </w:pPr>
            <w:r>
              <w:rPr>
                <w:rFonts w:ascii="Noto Sans" w:hAnsi="Noto Sans"/>
                <w:b/>
                <w:color w:val="304E44"/>
                <w:sz w:val="18"/>
              </w:rPr>
              <w:t>EXEGETISCHER TIEFENPUNKT</w:t>
            </w:r>
          </w:p>
          <w:p>
            <w:pPr>
              <w:spacing w:after="0"/>
            </w:pPr>
            <w:r>
              <w:t>Das Bild stammt aus der alten prophetischen Babylon-Tradition, besonders Jeremia 50–51 und Jesaja 34. Für die ersten Hörer war Rom ein naheliegender Horizont. Doch Johannes schreibt „Babylon“, gerade damit das Symbol mehr kann als nur einen Stadtnamen ersetzen: Es entlarvt Macht, sobald sie sich absolut setzt, Menschen zur Ware macht und Gottes Platz beansprucht.</w:t>
            </w:r>
          </w:p>
        </w:tc>
      </w:tr>
    </w:tbl>
    <w:p>
      <w:pPr>
        <w:spacing w:after="20"/>
      </w:pPr>
    </w:p>
    <w:p>
      <w:r>
        <w:rPr>
          <w:b/>
        </w:rPr>
        <w:t xml:space="preserve">Beispiel: </w:t>
      </w:r>
      <w:r>
        <w:t>Ein Unternehmen wird wegen systematischer Ausbeutung geschlossen. Für Aktionäre ist das ein Verlust; für Menschen, die unter den Bedingungen litten, kann es Befreiung sein. Erst wenn wir die Perspektive der Betroffenen hören, verstehen wir, warum „Gericht“ auch gute Nachricht sein kann.</w:t>
      </w:r>
    </w:p>
    <w:p>
      <w:r>
        <w:rPr>
          <w:b/>
        </w:rPr>
        <w:t>Gesprächsfragen</w:t>
      </w:r>
    </w:p>
    <w:p>
      <w:pPr>
        <w:ind w:left="227"/>
      </w:pPr>
      <w:r>
        <w:rPr>
          <w:i/>
        </w:rPr>
        <w:t>• Was wird in den Versen ausdrücklich als Grund für das Halleluja genannt?</w:t>
      </w:r>
    </w:p>
    <w:p>
      <w:pPr>
        <w:ind w:left="227"/>
      </w:pPr>
      <w:r>
        <w:rPr>
          <w:i/>
        </w:rPr>
        <w:t>• Warum ist es wichtig, dass Gott – nicht die Gemeinde – Recht schafft?</w:t>
      </w:r>
    </w:p>
    <w:p>
      <w:pPr>
        <w:ind w:left="227"/>
      </w:pPr>
      <w:r>
        <w:rPr>
          <w:i/>
        </w:rPr>
        <w:t>• Wo erleben Menschen heute Systeme, die glänzen und zugleich andere den Preis zahlen lassen?</w:t>
      </w:r>
    </w:p>
    <w:p>
      <w:pPr>
        <w:ind w:left="227"/>
      </w:pPr>
      <w:r>
        <w:rPr>
          <w:i/>
        </w:rPr>
        <w:t>• Wie verhindern wir, dass aus berechtigter Gerichtshoffnung Schadenfreude wird?</w:t>
      </w:r>
    </w:p>
    <w:p>
      <w:pPr>
        <w:pStyle w:val="Heading2"/>
      </w:pPr>
      <w:r>
        <w:t>II. Wenn Gottes Herrschaft hörbar wird</w:t>
      </w:r>
    </w:p>
    <w:p>
      <w:r>
        <w:rPr>
          <w:b/>
          <w:color w:val="3A534A"/>
        </w:rPr>
        <w:t>Offenbarung 19,4–6</w:t>
      </w:r>
    </w:p>
    <w:p>
      <w:r>
        <w:t>Die Szene wird größer. Älteste und Lebewesen beten an, vom Thron kommt ein Ruf zum Lob, und schließlich klingt die Menge wie Wasser und Donner. Das ist keine Hintergrundmusik. Die Offenbarung setzt liturgische Akklamationen gegen die Akklamationen der imperialen Welt. Rettung, Herrlichkeit, Macht und Herrschaft gehören letztlich Gott.</w:t>
      </w:r>
    </w:p>
    <w:tbl>
      <w:tblPr>
        <w:tblW w:type="auto" w:w="0"/>
        <w:jc w:val="center"/>
        <w:tblLayout w:type="fixed"/>
        <w:tblLook w:firstColumn="1" w:firstRow="1" w:lastColumn="0" w:lastRow="0" w:noHBand="0" w:noVBand="1" w:val="04A0"/>
      </w:tblPr>
      <w:tblGrid>
        <w:gridCol w:w="9468"/>
      </w:tblGrid>
      <w:tr>
        <w:tc>
          <w:tcPr>
            <w:tcW w:type="dxa" w:w="9972"/>
            <w:shd w:fill="F6F5EF"/>
            <w:tcMar>
              <w:top w:w="150" w:type="dxa"/>
              <w:start w:w="180" w:type="dxa"/>
              <w:bottom w:w="150" w:type="dxa"/>
              <w:end w:w="180" w:type="dxa"/>
            </w:tcMar>
          </w:tcPr>
          <w:p>
            <w:pPr>
              <w:spacing w:after="60"/>
            </w:pPr>
            <w:r>
              <w:rPr>
                <w:rFonts w:ascii="Noto Sans" w:hAnsi="Noto Sans"/>
                <w:b/>
                <w:color w:val="304E44"/>
                <w:sz w:val="18"/>
              </w:rPr>
              <w:t>EXEGETISCHER TIEFENPUNKT</w:t>
            </w:r>
          </w:p>
          <w:p>
            <w:pPr>
              <w:spacing w:after="0"/>
            </w:pPr>
            <w:r>
              <w:t>Das „Halleluja“ steht im Neuen Testament nur in diesem Abschnitt. Es kommt aus der Psalmentradition: „Lobt den HERRN“. In Vers 6 steht ἐβασίλευσεν – Gottes Königsherrschaft wird als wirksam eingetretene Wirklichkeit gefeiert. Damit wird das Machtvakuum nach Babylon nicht von der nächsten Babylon-Version gefüllt.</w:t>
            </w:r>
          </w:p>
        </w:tc>
      </w:tr>
    </w:tbl>
    <w:p>
      <w:pPr>
        <w:spacing w:after="20"/>
      </w:pPr>
    </w:p>
    <w:p>
      <w:r>
        <w:rPr>
          <w:b/>
        </w:rPr>
        <w:t xml:space="preserve">Beispiel: </w:t>
      </w:r>
      <w:r>
        <w:t>Nach dem Sturz eines ungerechten Systems entsteht oft die Frage: „Wer übernimmt jetzt?“ Offenbarung 19 beantwortet sie theologisch: Nicht die nächste selbstherrliche Macht ist die Hoffnung, sondern Gottes Herrschaft. Das entlastet die Gemeinde auch davon, selbst Erlöserin der Welt spielen zu müssen.</w:t>
      </w:r>
    </w:p>
    <w:p>
      <w:r>
        <w:rPr>
          <w:b/>
        </w:rPr>
        <w:t>Gesprächsfragen</w:t>
      </w:r>
    </w:p>
    <w:p>
      <w:pPr>
        <w:ind w:left="227"/>
      </w:pPr>
      <w:r>
        <w:rPr>
          <w:i/>
        </w:rPr>
        <w:t>• Welche Bilder nutzt Johannes, um die Größe des Lobes hörbar zu machen?</w:t>
      </w:r>
    </w:p>
    <w:p>
      <w:pPr>
        <w:ind w:left="227"/>
      </w:pPr>
      <w:r>
        <w:rPr>
          <w:i/>
        </w:rPr>
        <w:t>• Was unterscheidet Gottes Herrschaft von Babylons Herrschaft?</w:t>
      </w:r>
    </w:p>
    <w:p>
      <w:pPr>
        <w:ind w:left="227"/>
      </w:pPr>
      <w:r>
        <w:rPr>
          <w:i/>
        </w:rPr>
        <w:t>• Wo verwechseln Christen Einfluss mit Gottes Reich?</w:t>
      </w:r>
    </w:p>
    <w:p>
      <w:pPr>
        <w:ind w:left="227"/>
      </w:pPr>
      <w:r>
        <w:rPr>
          <w:i/>
        </w:rPr>
        <w:t>• Was könnte ein „Halleluja“ bedeuten, das nicht Probleme übertönt, sondern Gottes Zukunft bekennt?</w:t>
      </w:r>
    </w:p>
    <w:p>
      <w:pPr>
        <w:pStyle w:val="Heading2"/>
      </w:pPr>
      <w:r>
        <w:t>III. Wenn das Ende wie eine Hochzeit aussieht</w:t>
      </w:r>
    </w:p>
    <w:p>
      <w:r>
        <w:rPr>
          <w:b/>
          <w:color w:val="3A534A"/>
        </w:rPr>
        <w:t>Offenbarung 19,7–10</w:t>
      </w:r>
    </w:p>
    <w:p>
      <w:r>
        <w:t>Jetzt wechselt das Leitbild völlig. Aus Rauch wird Fest. Die Hochzeit des Lammes ist gekommen; die Braut ist bereit; Geladene werden seliggepriesen. Das Ende der alten Gegenwelt ist nur die eine Hälfte der Botschaft. Gottes Ziel ist Gemeinschaft. Die Gemeinde empfängt ihr Gewand und hat sich zugleich vorbereitet. Gottes Gnade schafft eine Lebensform, die zu seiner Zukunft passt.</w:t>
      </w:r>
    </w:p>
    <w:tbl>
      <w:tblPr>
        <w:tblW w:type="auto" w:w="0"/>
        <w:jc w:val="center"/>
        <w:tblLayout w:type="fixed"/>
        <w:tblLook w:firstColumn="1" w:firstRow="1" w:lastColumn="0" w:lastRow="0" w:noHBand="0" w:noVBand="1" w:val="04A0"/>
      </w:tblPr>
      <w:tblGrid>
        <w:gridCol w:w="9468"/>
      </w:tblGrid>
      <w:tr>
        <w:tc>
          <w:tcPr>
            <w:tcW w:type="dxa" w:w="9972"/>
            <w:shd w:fill="F6F5EF"/>
            <w:tcMar>
              <w:top w:w="150" w:type="dxa"/>
              <w:start w:w="180" w:type="dxa"/>
              <w:bottom w:w="150" w:type="dxa"/>
              <w:end w:w="180" w:type="dxa"/>
            </w:tcMar>
          </w:tcPr>
          <w:p>
            <w:pPr>
              <w:spacing w:after="60"/>
            </w:pPr>
            <w:r>
              <w:rPr>
                <w:rFonts w:ascii="Noto Sans" w:hAnsi="Noto Sans"/>
                <w:b/>
                <w:color w:val="304E44"/>
                <w:sz w:val="18"/>
              </w:rPr>
              <w:t>EXEGETISCHER TIEFENPUNKT</w:t>
            </w:r>
          </w:p>
          <w:p>
            <w:pPr>
              <w:spacing w:after="0"/>
            </w:pPr>
            <w:r>
              <w:t>Das Brautmotiv knüpft an Jesaja und Hosea an. In 19,8 steht ein doppelter Akzent: „es wurde ihr gegeben“ – Geschenk – und das Leinen steht für die δικαιώματα der Heiligen – gelebte Gerechtigkeit/Treue. Vers 10 schützt schließlich vor religiöser Überhöhung: Johannes will den Engel anbeten, doch der weist ihn zurück. „Bete Gott an!“ Prophetie ist echt, wenn sie dem Zeugnis Jesu dient.</w:t>
            </w:r>
          </w:p>
        </w:tc>
      </w:tr>
    </w:tbl>
    <w:p>
      <w:pPr>
        <w:spacing w:after="20"/>
      </w:pPr>
    </w:p>
    <w:p>
      <w:r>
        <w:rPr>
          <w:b/>
        </w:rPr>
        <w:t xml:space="preserve">Beispiel: </w:t>
      </w:r>
      <w:r>
        <w:t>Bei einer Hochzeit kann niemand die Beziehung durch perfekte Kleidung verdienen; und doch zeigt die Kleidung, dass jemand sich auf das Fest eingestellt hat. So ähnlich verbindet der Text Geschenk und Vorbereitung: Wir leben nicht, um Gottes Einladung zu verdienen, sondern weil wir eingeladen sind.</w:t>
      </w:r>
    </w:p>
    <w:p>
      <w:r>
        <w:rPr>
          <w:b/>
        </w:rPr>
        <w:t>Gesprächsfragen</w:t>
      </w:r>
    </w:p>
    <w:p>
      <w:pPr>
        <w:ind w:left="227"/>
      </w:pPr>
      <w:r>
        <w:rPr>
          <w:i/>
        </w:rPr>
        <w:t>• Was ist der überraschendste Übergang zwischen Vers 6 und Vers 7?</w:t>
      </w:r>
    </w:p>
    <w:p>
      <w:pPr>
        <w:ind w:left="227"/>
      </w:pPr>
      <w:r>
        <w:rPr>
          <w:i/>
        </w:rPr>
        <w:t>• Wie gehören „es wurde ihr gegeben“ und „die gerechten Taten“ zusammen?</w:t>
      </w:r>
    </w:p>
    <w:p>
      <w:pPr>
        <w:ind w:left="227"/>
      </w:pPr>
      <w:r>
        <w:rPr>
          <w:i/>
        </w:rPr>
        <w:t>• Was sagt das Hochzeitsbild über Gottes Ziel mit seiner Gemeinde?</w:t>
      </w:r>
    </w:p>
    <w:p>
      <w:pPr>
        <w:ind w:left="227"/>
      </w:pPr>
      <w:r>
        <w:rPr>
          <w:i/>
        </w:rPr>
        <w:t>• Warum steht die Korrektur der Engelverehrung ausgerechnet am Ende dieser überwältigenden Vision?</w:t>
      </w:r>
    </w:p>
    <w:p>
      <w:pPr>
        <w:ind w:left="227"/>
      </w:pPr>
      <w:r>
        <w:rPr>
          <w:i/>
        </w:rPr>
        <w:t>• Woran erkennt man Prophetie oder Verkündigung, die wirklich auf Jesus hinweist?</w:t>
      </w:r>
    </w:p>
    <w:p>
      <w:pPr>
        <w:pStyle w:val="Heading2"/>
      </w:pPr>
      <w:r>
        <w:t>5.3 Dialogische Methode – „Klage oder Halleluja?“</w:t>
      </w:r>
    </w:p>
    <w:p>
      <w:r>
        <w:t>Lege vier Begriffe auf Karten in den Raum: MACHT – WOHLSTAND – SICHERHEIT – GEMEINSCHAFT. Die Teilnehmenden stellen sich zu dem Begriff, der für sie am ehesten „Babylon“ werden kann, wenn er absolut gesetzt wird. In Kleingruppen: Was ist daran gut? Wann kippt es? Was wäre die Perspektive des Lammes? Danach kurze Rückmeldungen im Plenum. Wichtig: keine parteipolitischen Gleichsetzungen erzwingen.</w:t>
      </w:r>
    </w:p>
    <w:p>
      <w:pPr>
        <w:pStyle w:val="Heading2"/>
      </w:pPr>
      <w:r>
        <w:t>5.4 Geistliche Verdichtung (ca. 200 Wörter)</w:t>
      </w:r>
    </w:p>
    <w:p>
      <w:r>
        <w:t>Offenbarung 19 beginnt mit Rauch – und endet mit einer Einladung zum Fest. Dazwischen liegt der Weg von einer Welt, die Menschen verführt und verbraucht, zu einer Gemeinschaft, in der Gott Recht schafft. Das ist die Hoffnung dieses Textes: Unrecht ist nicht ewig. Macht, die sich selbst vergöttlicht, ist nicht unantastbar. Und die Zukunft gehört nicht denen, die am lautesten auftreten, am meisten besitzen oder andere am wirksamsten kontrollieren. Die Zukunft gehört Gott und dem Lamm. Darum klingt im Himmel das Halleluja. Nicht weil Ruinen schön wären, sondern weil Opfer nicht vergessen sind. Nicht weil Gott Freude an Zerstörung hätte, sondern weil er die zerstörerische Macht beendet. Und dann überrascht der Text: Das Ziel ist eine Hochzeit. Gott schafft nicht nur etwas weg; er schafft Gemeinschaft. Christus, das Lamm, führt seine Menschen an einen gedeckten Tisch. Wir müssen uns diese Einladung nicht verdienen. Das Gewand wird gegeben. Aber gerade diese Gnade verändert unser Leben. Sie macht uns frei, heute schon anders zu handeln: gerecht, treu, wahrhaftig. Und wenn uns religiöse Bilder oder Stimmen überwältigen, bleibt der klare Satz: Bete Gott an. Alles echte Zeugnis weist auf Jesus.</w:t>
      </w:r>
    </w:p>
    <w:p>
      <w:pPr>
        <w:pStyle w:val="Heading2"/>
      </w:pPr>
      <w:r>
        <w:t>5.5 Schluss</w:t>
      </w:r>
    </w:p>
    <w:p>
      <w:r>
        <w:t>Nimm noch einmal das Schlüsselbild auf: Auf der einen Seite der Rauch Babylons, auf der anderen das helle Leinen der Braut. Die Frage lautet nicht nur, was irgendwann fällt. Die persönlichere Frage ist: Welche Welt prägt heute schon meine Loyalität?</w:t>
      </w:r>
    </w:p>
    <w:p>
      <w:pPr>
        <w:ind w:left="227"/>
      </w:pPr>
      <w:r>
        <w:rPr>
          <w:i/>
        </w:rPr>
        <w:t>• Persönlich: Welche „glänzende“ Sicherheit übt auf mich besonders starken Einfluss aus?</w:t>
      </w:r>
    </w:p>
    <w:p>
      <w:pPr>
        <w:ind w:left="227"/>
      </w:pPr>
      <w:r>
        <w:rPr>
          <w:i/>
        </w:rPr>
        <w:t>• Glaube: Wo brauche ich neu die Hoffnung, dass Gott Unrecht sieht und Recht schafft?</w:t>
      </w:r>
    </w:p>
    <w:p>
      <w:pPr>
        <w:ind w:left="227"/>
      </w:pPr>
      <w:r>
        <w:rPr>
          <w:i/>
        </w:rPr>
        <w:t>• Handeln: Welche kleine Form von Gerechtigkeit oder Treue kann diese Woche sichtbar werden?</w:t>
      </w:r>
    </w:p>
    <w:tbl>
      <w:tblPr>
        <w:tblW w:type="auto" w:w="0"/>
        <w:jc w:val="center"/>
        <w:tblLayout w:type="fixed"/>
        <w:tblLook w:firstColumn="1" w:firstRow="1" w:lastColumn="0" w:lastRow="0" w:noHBand="0" w:noVBand="1" w:val="04A0"/>
      </w:tblPr>
      <w:tblGrid>
        <w:gridCol w:w="9468"/>
      </w:tblGrid>
      <w:tr>
        <w:tc>
          <w:tcPr>
            <w:tcW w:type="dxa" w:w="9972"/>
            <w:shd w:fill="E8EDE9"/>
            <w:tcMar>
              <w:top w:w="150" w:type="dxa"/>
              <w:start w:w="180" w:type="dxa"/>
              <w:bottom w:w="150" w:type="dxa"/>
              <w:end w:w="180" w:type="dxa"/>
            </w:tcMar>
          </w:tcPr>
          <w:p>
            <w:pPr>
              <w:spacing w:after="60"/>
            </w:pPr>
            <w:r>
              <w:rPr>
                <w:rFonts w:ascii="Noto Sans" w:hAnsi="Noto Sans"/>
                <w:b/>
                <w:color w:val="304E44"/>
                <w:sz w:val="18"/>
              </w:rPr>
              <w:t>GEBETSIMPULS</w:t>
            </w:r>
          </w:p>
          <w:p>
            <w:pPr>
              <w:spacing w:after="0"/>
            </w:pPr>
            <w:r>
              <w:t>Herr Jesus Christus, du Lamm Gottes, bewahre uns davor, Glanz mit Wahrheit und Macht mit Heil zu verwechseln. Lass uns deiner Einladung vertrauen und schon heute so leben, dass deine Gerechtigkeit sichtbar wird. Richte unsere Anbetung auf Gott und unser Zeugnis auf dich. Amen.</w:t>
            </w:r>
          </w:p>
        </w:tc>
      </w:tr>
    </w:tbl>
    <w:p>
      <w:pPr>
        <w:spacing w:after="20"/>
      </w:pPr>
    </w:p>
    <w:p>
      <w:pPr>
        <w:pStyle w:val="Heading1"/>
      </w:pPr>
      <w:r>
        <w:t>6. Ergänzende Einsatzformen</w:t>
      </w:r>
    </w:p>
    <w:p>
      <w:pPr>
        <w:pStyle w:val="Heading2"/>
      </w:pPr>
      <w:r>
        <w:t>6.1 Kurzandacht 5–7 Minuten</w:t>
      </w:r>
    </w:p>
    <w:p>
      <w:r>
        <w:t>Einstieg mit dem Kontrast „Rauch oder Fest“. Ein Satz zu Babylon als glänzender, aber zerstörerischer Machtordnung. Dann der Wendepunkt: Der Himmel singt nicht über Ruinen, sondern über Gottes gerechtes Handeln. Höhepunkt: Die Hochzeit des Lammes zeigt Gottes Ziel. Schluss: „Nicht Babylon behält das letzte Wort, sondern Gott und das Lamm.“</w:t>
      </w:r>
    </w:p>
    <w:p>
      <w:pPr>
        <w:pStyle w:val="Heading2"/>
      </w:pPr>
      <w:r>
        <w:t>6.2 Kleingruppe 4–8 Personen</w:t>
      </w:r>
    </w:p>
    <w:p>
      <w:r>
        <w:t>Lest 19,1–10 in zwei Abschnitten (1–6; 7–10). Methode: Jede Person nennt ein Wort, das sie irritiert, und eines, das Hoffnung weckt. Danach drei Kernfragen: Was wird beendet? Was beginnt? Worauf richtet sich Anbetung?</w:t>
      </w:r>
    </w:p>
    <w:p>
      <w:pPr>
        <w:pStyle w:val="Heading2"/>
      </w:pPr>
      <w:r>
        <w:t>6.3 Größere dialogische Gruppe</w:t>
      </w:r>
    </w:p>
    <w:p>
      <w:r>
        <w:t>Abstimmung mit Karten: „Der schwierigste Teil des Textes ist für mich: Gericht / Halleluja / Hochzeit / Anbetungsverbot.“ Danach vier kurze Murmelgruppen nach Wahl und je ein Ergebnissatz im Plenum.</w:t>
      </w:r>
    </w:p>
    <w:p>
      <w:pPr>
        <w:pStyle w:val="Heading2"/>
      </w:pPr>
      <w:r>
        <w:t>6.4 Einordnung in die Reihe „Dem Drachen ins Gesicht schauen“</w:t>
      </w:r>
    </w:p>
    <w:p>
      <w:r>
        <w:t>Rückblick auf Abend 5 – Offenbarung 13 „Das Böse &amp; die Welt“: Dort wurde sichtbar, wie das Böse sich in Macht, Anbetung und wirtschaftlichem Druck organisiert und das Gute imitiert. Abend 6 zeigt nun: Diese Gegenwelt ist nicht dauerhaft. Gott entlarvt und beendet Babylon und öffnet den Raum für Lob und die Hochzeit des Lammes.</w:t>
      </w:r>
    </w:p>
    <w:p>
      <w:r>
        <w:t>Ausblick auf Abend 7 – Offenbarung 21,1–8 „Neuer Himmel &amp; neue Erde“: Wenn Babylon gefallen und die Hochzeit angekündigt ist, stellt sich die nächste Frage: Wie sieht die Welt aus, die Gott an die Stelle der alten Ordnung setzt – und was bedeutet es, dass Gott selbst bei den Menschen wohnen wird?</w:t>
      </w:r>
    </w:p>
    <w:p>
      <w:r>
        <w:t>Beitrag zur Gesamtbotschaft: Die Reihe bleibt nicht bei der Analyse des Drachen und seiner Systeme stehen. Sie führt von Entlarvung und Widerstand zur Hoffnung: Das Böse wird begrenzt, das Lamm bleibt, und Gottes Zukunft ist neue Schöpfung.</w:t>
      </w:r>
    </w:p>
    <w:p>
      <w:r>
        <w:br w:type="page"/>
      </w:r>
    </w:p>
    <w:p>
      <w:pPr>
        <w:pStyle w:val="Heading1"/>
      </w:pPr>
      <w:r>
        <w:t>7. Zweifache Qualitätskontrolle</w:t>
      </w:r>
    </w:p>
    <w:p>
      <w:pPr>
        <w:pStyle w:val="Heading2"/>
      </w:pPr>
      <w:r>
        <w:t>Prüfdurchgang 1 – Bestand/Vollständigkeit</w:t>
      </w:r>
    </w:p>
    <w:p>
      <w:r>
        <w:t>Vorhanden: Textabgrenzung, Aufbau, Übersetzungsvergleich, Textkritik, Urtextarbeit, historischer und biblischer Kontext, Intertextualität, versweise Exegese, vorläufige Landkarte, unabhängige Webrecherche, WiBiLex/WiReLex, Kommentar-/Forschungsvergleich, Korrekturphase, Endsyntese, beide Skopoi, Gemeindebrücke, genau drei Hauptabschnitte, Dialogmethode, Kurzandacht, Schlussfragen, Reihenkontext, Quellen und Teilnehmerblatt.</w:t>
      </w:r>
    </w:p>
    <w:p>
      <w:pPr>
        <w:pStyle w:val="Heading2"/>
      </w:pPr>
      <w:r>
        <w:t>Prüfdurchgang 2 – Funktion/Qualität</w:t>
      </w:r>
    </w:p>
    <w:p>
      <w:pPr>
        <w:pStyle w:val="ListBullet"/>
      </w:pPr>
      <w:r>
        <w:t>Keine Gleichsetzung Babylons mit einer heutigen Partei, Nation, Religion oder Technologie.</w:t>
      </w:r>
    </w:p>
    <w:p>
      <w:pPr>
        <w:pStyle w:val="ListBullet"/>
      </w:pPr>
      <w:r>
        <w:t>Gericht nicht als Schadenfreude, sondern aus der Perspektive der Opfer und der Wiederherstellung von Recht gelesen.</w:t>
      </w:r>
    </w:p>
    <w:p>
      <w:pPr>
        <w:pStyle w:val="ListBullet"/>
      </w:pPr>
      <w:r>
        <w:t>Historischer Rom-Bezug klar, aber Symbol nicht darauf reduziert.</w:t>
      </w:r>
    </w:p>
    <w:p>
      <w:pPr>
        <w:pStyle w:val="ListBullet"/>
      </w:pPr>
      <w:r>
        <w:t>Gabe Gottes und ethische Verantwortung in 19,8 zusammengehalten.</w:t>
      </w:r>
    </w:p>
    <w:p>
      <w:pPr>
        <w:pStyle w:val="ListBullet"/>
      </w:pPr>
      <w:r>
        <w:t>Ambiguität von μαρτυρία Ἰησοῦ transparent benannt.</w:t>
      </w:r>
    </w:p>
    <w:p>
      <w:pPr>
        <w:pStyle w:val="ListBullet"/>
      </w:pPr>
      <w:r>
        <w:t>Christologische Mitte: Das Lamm und die Hochzeit bilden den Zielpunkt; die Einheit endet nicht beim Fall Babylons.</w:t>
      </w:r>
    </w:p>
    <w:p>
      <w:pPr>
        <w:pStyle w:val="ListBullet"/>
      </w:pPr>
      <w:r>
        <w:t>Gemeindepädagogisch keine Angstpädagogik und kein Endzeitfahrplan.</w:t>
      </w:r>
    </w:p>
    <w:p>
      <w:pPr>
        <w:pStyle w:val="Heading1"/>
      </w:pPr>
      <w:r>
        <w:t>8. Literatur und eingesehene Webquellen</w:t>
      </w:r>
    </w:p>
    <w:p>
      <w:pPr>
        <w:pStyle w:val="ListBullet"/>
      </w:pPr>
      <w:r>
        <w:t>Mareano, Marcus Aurélio Alves: “The Time for the Wedding of the Lamb Has Come. The Recapitulation of Divine Justice in the Hymns according to Rev 19:1–8.” Perspectiva Teológica 54/3 (2022), 719ff. DOI: 10.20911/21768757v54n3p719/2022. Volltext über SciELO.</w:t>
      </w:r>
    </w:p>
    <w:p>
      <w:pPr>
        <w:pStyle w:val="ListBullet"/>
      </w:pPr>
      <w:r>
        <w:t>Huttner, Ulrich: „Imperium Romanum“. WiBiLex, Deutsche Bibelgesellschaft, erstellt 2017. https://www.die-bibel.de/stichwort/48860/</w:t>
      </w:r>
    </w:p>
    <w:p>
      <w:pPr>
        <w:pStyle w:val="ListBullet"/>
      </w:pPr>
      <w:r>
        <w:t>WiReLex: „Apokalyptik“. Deutsche Bibelgesellschaft. https://www.die-bibel.de/ressourcen/wirelex/6-inhalte-iii-systematisch-theologische-didaktik/apokalyptik-2</w:t>
      </w:r>
    </w:p>
    <w:p>
      <w:pPr>
        <w:pStyle w:val="ListBullet"/>
      </w:pPr>
      <w:r>
        <w:t>Deutsche Bibelgesellschaft: Offenbarung 19 / Bibelkunde zur Offenbarung, die-bibel.de.</w:t>
      </w:r>
    </w:p>
    <w:p>
      <w:pPr>
        <w:pStyle w:val="ListBullet"/>
      </w:pPr>
      <w:r>
        <w:t>Moffatt, James: “The Revelation of St. John the Divine”, in: The Expositor’s Greek Testament, Bd. 5. Historischer Volltext online über BibleHub/StudyLight.</w:t>
      </w:r>
    </w:p>
    <w:p>
      <w:pPr>
        <w:pStyle w:val="ListBullet"/>
      </w:pPr>
      <w:r>
        <w:t>„Re-envisioning the Church through the ‘Eyes’ of the Woman Clothed with the Sun and the Bride in John’s Apocalypse.“ Veritas: Jurnal Teologi dan Pelayanan 22/1 (2023). Für diese Arbeit wurden zugängliche Volltextauszüge ausgewertet.</w:t>
      </w:r>
    </w:p>
    <w:p>
      <w:pPr>
        <w:pStyle w:val="ListBullet"/>
      </w:pPr>
      <w:r>
        <w:t>BibleHub Greek Text Analysis zu Offb 19,1.7.9.10 als Kontrollinstrument für Formen und Varianten; nicht als Ersatz für NA28.</w:t>
      </w:r>
    </w:p>
    <w:p>
      <w:pPr>
        <w:pStyle w:val="ListBullet"/>
      </w:pPr>
      <w:r>
        <w:t>Nur sekundär bzw. bibliographisch über die oben eingesehenen Fachtexte berücksichtigt: David Aune, G. K. Beale, Craig Koester, Stephen Smalley, Jan Fekkes, Kevin Miller u. a. Diese Werke wurden nicht als vollständig eingesehen ausgegeben.</w:t>
      </w:r>
    </w:p>
    <w:p>
      <w:pPr>
        <w:pStyle w:val="Heading1"/>
      </w:pPr>
      <w:r>
        <w:t>9. Teilnehmerblatt – Inhaltsfassung</w:t>
      </w:r>
    </w:p>
    <w:tbl>
      <w:tblPr>
        <w:tblW w:type="auto" w:w="0"/>
        <w:jc w:val="center"/>
        <w:tblLayout w:type="fixed"/>
        <w:tblLook w:firstColumn="1" w:firstRow="1" w:lastColumn="0" w:lastRow="0" w:noHBand="0" w:noVBand="1" w:val="04A0"/>
      </w:tblPr>
      <w:tblGrid>
        <w:gridCol w:w="9468"/>
      </w:tblGrid>
      <w:tr>
        <w:tc>
          <w:tcPr>
            <w:tcW w:type="dxa" w:w="9972"/>
            <w:shd w:fill="F2F4F2"/>
            <w:tcMar>
              <w:top w:w="150" w:type="dxa"/>
              <w:start w:w="180" w:type="dxa"/>
              <w:bottom w:w="150" w:type="dxa"/>
              <w:end w:w="180" w:type="dxa"/>
            </w:tcMar>
          </w:tcPr>
          <w:p>
            <w:pPr>
              <w:spacing w:after="60"/>
            </w:pPr>
            <w:r>
              <w:rPr>
                <w:rFonts w:ascii="Noto Sans" w:hAnsi="Noto Sans"/>
                <w:b/>
                <w:color w:val="304E44"/>
                <w:sz w:val="18"/>
              </w:rPr>
              <w:t>DER GEDANKE DES ABENDS</w:t>
            </w:r>
          </w:p>
          <w:p>
            <w:pPr>
              <w:spacing w:after="0"/>
            </w:pPr>
            <w:r>
              <w:t>Offenbarung 19,1–10 wechselt die Perspektive: Während die Mächtigen über Babylons Fall klagen, jubelt der Himmel, weil Gott dem Unrecht eine Grenze setzt. Doch der Text bleibt nicht bei Gericht stehen. Sein Ziel ist die Hochzeit des Lammes: Gemeinschaft, Freude und Hoffnung. Gottes Zukunft gehört nicht der Gewalt, sondern dem Lamm.</w:t>
            </w:r>
          </w:p>
        </w:tc>
      </w:tr>
    </w:tbl>
    <w:p>
      <w:pPr>
        <w:spacing w:after="20"/>
      </w:pPr>
    </w:p>
    <w:p>
      <w:pPr>
        <w:pStyle w:val="ListBullet"/>
      </w:pPr>
      <w:r>
        <w:t>Babylon fällt – Unrecht bleibt nicht ewig normal.</w:t>
      </w:r>
    </w:p>
    <w:p>
      <w:pPr>
        <w:pStyle w:val="ListBullet"/>
      </w:pPr>
      <w:r>
        <w:t>Der Himmel jubelt – Gottes Herrschaft bedeutet Recht und Befreiung.</w:t>
      </w:r>
    </w:p>
    <w:p>
      <w:pPr>
        <w:pStyle w:val="ListBullet"/>
      </w:pPr>
      <w:r>
        <w:t>Das Lamm lädt ein – Gottes Ziel ist Gemeinschaft, nicht Zerstörung.</w:t>
      </w:r>
    </w:p>
    <w:tbl>
      <w:tblPr>
        <w:tblW w:type="auto" w:w="0"/>
        <w:jc w:val="center"/>
        <w:tblLayout w:type="fixed"/>
        <w:tblLook w:firstColumn="1" w:firstRow="1" w:lastColumn="0" w:lastRow="0" w:noHBand="0" w:noVBand="1" w:val="04A0"/>
      </w:tblPr>
      <w:tblGrid>
        <w:gridCol w:w="9468"/>
      </w:tblGrid>
      <w:tr>
        <w:tc>
          <w:tcPr>
            <w:tcW w:type="dxa" w:w="9972"/>
            <w:shd w:fill="F2F4F2"/>
            <w:tcMar>
              <w:top w:w="150" w:type="dxa"/>
              <w:start w:w="180" w:type="dxa"/>
              <w:bottom w:w="150" w:type="dxa"/>
              <w:end w:w="180" w:type="dxa"/>
            </w:tcMar>
          </w:tcPr>
          <w:p>
            <w:pPr>
              <w:spacing w:after="60"/>
            </w:pPr>
            <w:r>
              <w:rPr>
                <w:rFonts w:ascii="Noto Sans" w:hAnsi="Noto Sans"/>
                <w:b/>
                <w:color w:val="304E44"/>
                <w:sz w:val="18"/>
              </w:rPr>
              <w:t>LEITFRAGE</w:t>
            </w:r>
          </w:p>
          <w:p>
            <w:pPr>
              <w:spacing w:after="0"/>
            </w:pPr>
            <w:r>
              <w:t>Welche „Babylons“ locken mich mit Glanz – und worauf setze ich meine Hoffnung?</w:t>
            </w:r>
          </w:p>
        </w:tc>
      </w:tr>
    </w:tbl>
    <w:p>
      <w:pPr>
        <w:spacing w:after="20"/>
      </w:pPr>
    </w:p>
    <w:tbl>
      <w:tblPr>
        <w:tblW w:type="auto" w:w="0"/>
        <w:jc w:val="center"/>
        <w:tblLayout w:type="fixed"/>
        <w:tblLook w:firstColumn="1" w:firstRow="1" w:lastColumn="0" w:lastRow="0" w:noHBand="0" w:noVBand="1" w:val="04A0"/>
      </w:tblPr>
      <w:tblGrid>
        <w:gridCol w:w="9468"/>
      </w:tblGrid>
      <w:tr>
        <w:tc>
          <w:tcPr>
            <w:tcW w:type="dxa" w:w="9972"/>
            <w:shd w:fill="F2F4F2"/>
            <w:tcMar>
              <w:top w:w="150" w:type="dxa"/>
              <w:start w:w="180" w:type="dxa"/>
              <w:bottom w:w="150" w:type="dxa"/>
              <w:end w:w="180" w:type="dxa"/>
            </w:tcMar>
          </w:tcPr>
          <w:p>
            <w:pPr>
              <w:spacing w:after="60"/>
            </w:pPr>
            <w:r>
              <w:rPr>
                <w:rFonts w:ascii="Noto Sans" w:hAnsi="Noto Sans"/>
                <w:b/>
                <w:color w:val="304E44"/>
                <w:sz w:val="18"/>
              </w:rPr>
              <w:t>FÜR DIE WOCHE</w:t>
            </w:r>
          </w:p>
          <w:p>
            <w:pPr>
              <w:spacing w:after="0"/>
            </w:pPr>
            <w:r>
              <w:t>Achte auf eine Situation, in der Macht, Erfolg oder Sicherheit absolut gesetzt werden. Frage bewusst: Was dient Wahrheit, Gerechtigkeit und Gemeinschaft – und was bindet mich an bloßen Glanz?</w:t>
            </w:r>
          </w:p>
        </w:tc>
      </w:tr>
    </w:tbl>
    <w:p>
      <w:pPr>
        <w:spacing w:after="20"/>
      </w:pPr>
    </w:p>
    <w:tbl>
      <w:tblPr>
        <w:tblW w:type="auto" w:w="0"/>
        <w:jc w:val="center"/>
        <w:tblLayout w:type="fixed"/>
        <w:tblLook w:firstColumn="1" w:firstRow="1" w:lastColumn="0" w:lastRow="0" w:noHBand="0" w:noVBand="1" w:val="04A0"/>
      </w:tblPr>
      <w:tblGrid>
        <w:gridCol w:w="9468"/>
      </w:tblGrid>
      <w:tr>
        <w:tc>
          <w:tcPr>
            <w:tcW w:type="dxa" w:w="9972"/>
            <w:shd w:fill="F2F4F2"/>
            <w:tcMar>
              <w:top w:w="150" w:type="dxa"/>
              <w:start w:w="180" w:type="dxa"/>
              <w:bottom w:w="150" w:type="dxa"/>
              <w:end w:w="180" w:type="dxa"/>
            </w:tcMar>
          </w:tcPr>
          <w:p>
            <w:pPr>
              <w:spacing w:after="60"/>
            </w:pPr>
            <w:r>
              <w:rPr>
                <w:rFonts w:ascii="Noto Sans" w:hAnsi="Noto Sans"/>
                <w:b/>
                <w:color w:val="304E44"/>
                <w:sz w:val="18"/>
              </w:rPr>
              <w:t>GEBET</w:t>
            </w:r>
          </w:p>
          <w:p>
            <w:pPr>
              <w:spacing w:after="0"/>
            </w:pPr>
            <w:r>
              <w:t>Jesus Christus, du Lamm Gottes, schenke mir einen klaren Blick. Bewahre mich vor der Faszination falscher Größe. Hilf mir, deiner Einladung zu vertrauen und heute schon gerecht, treu und hoffnungsvoll zu leben. Amen.</w:t>
            </w:r>
          </w:p>
        </w:tc>
      </w:tr>
    </w:tbl>
    <w:p>
      <w:pPr>
        <w:spacing w:after="20"/>
      </w:pPr>
    </w:p>
    <w:tbl>
      <w:tblPr>
        <w:tblW w:type="auto" w:w="0"/>
        <w:jc w:val="center"/>
        <w:tblLayout w:type="fixed"/>
        <w:tblLook w:firstColumn="1" w:firstRow="1" w:lastColumn="0" w:lastRow="0" w:noHBand="0" w:noVBand="1" w:val="04A0"/>
      </w:tblPr>
      <w:tblGrid>
        <w:gridCol w:w="9468"/>
      </w:tblGrid>
      <w:tr>
        <w:tc>
          <w:tcPr>
            <w:tcW w:type="dxa" w:w="9972"/>
            <w:shd w:fill="E8EDE9"/>
            <w:tcMar>
              <w:top w:w="150" w:type="dxa"/>
              <w:start w:w="180" w:type="dxa"/>
              <w:bottom w:w="150" w:type="dxa"/>
              <w:end w:w="180" w:type="dxa"/>
            </w:tcMar>
          </w:tcPr>
          <w:p>
            <w:pPr>
              <w:spacing w:after="60"/>
            </w:pPr>
            <w:r>
              <w:rPr>
                <w:rFonts w:ascii="Noto Sans" w:hAnsi="Noto Sans"/>
                <w:b/>
                <w:color w:val="304E44"/>
                <w:sz w:val="18"/>
              </w:rPr>
              <w:t>EIN SATZ, DER BLEIBEN DARF</w:t>
            </w:r>
          </w:p>
          <w:p>
            <w:pPr>
              <w:spacing w:after="0"/>
            </w:pPr>
            <w:r>
              <w:t>Nicht Babylon behält das letzte Wort, sondern Gott und das Lamm.</w:t>
            </w:r>
          </w:p>
        </w:tc>
      </w:tr>
    </w:tbl>
    <w:p>
      <w:pPr>
        <w:spacing w:after="20"/>
      </w:pPr>
    </w:p>
    <w:sectPr w:rsidR="00FC693F" w:rsidRPr="0006063C" w:rsidSect="00034616">
      <w:headerReference w:type="default" r:id="rId9"/>
      <w:footerReference w:type="default" r:id="rId10"/>
      <w:pgSz w:w="11906" w:h="16838"/>
      <w:pgMar w:top="964"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Offenbarung 19,1–10  ·  Babylons Fall &amp; Jubel im Himmel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A5A5A"/>
        <w:sz w:val="16"/>
      </w:rPr>
      <w:t>Bibelwoche „Dem Drachen ins Gesicht schauen“  ·  Abend 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Noto Serif" w:hAnsi="Noto Serif" w:eastAsia="Noto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Noto Sans" w:hAnsi="Noto Sans" w:eastAsia="Noto Sans"/>
      <w:b/>
      <w:bCs/>
      <w:color w:val="20352F"/>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Noto Sans" w:hAnsi="Noto Sans" w:eastAsia="Noto Sans"/>
      <w:b/>
      <w:bCs/>
      <w:color w:val="3A534A"/>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Noto Sans" w:hAnsi="Noto Sans" w:eastAsia="Noto Sans"/>
      <w:b/>
      <w:bCs/>
      <w:color w:val="3A534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Noto Sans" w:hAnsi="Noto Sans" w:eastAsia="Noto Sans"/>
      <w:b/>
      <w:color w:val="2035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Greek">
    <w:name w:val="Greek"/>
    <w:rPr>
      <w:rFonts w:ascii="Noto Serif" w:hAnsi="Noto Serif" w:eastAsia="Noto Serif"/>
      <w: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