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Liberation Sans" w:hAnsi="Liberation Sans"/>
          <w:b/>
          <w:sz w:val="44"/>
        </w:rPr>
        <w:t>Offenbarung 1,1-3 - Die Offenbarung &amp; Jesus Christus</w:t>
      </w:r>
    </w:p>
    <w:p>
      <w:pPr>
        <w:jc w:val="center"/>
      </w:pPr>
      <w:r>
        <w:rPr>
          <w:i/>
          <w:sz w:val="26"/>
        </w:rPr>
        <w:t>Exegese- und Bibelarbeitsvorbereitung</w:t>
      </w:r>
    </w:p>
    <w:tbl>
      <w:tblPr>
        <w:tblStyle w:val="TableGrid"/>
        <w:tblW w:type="auto" w:w="0"/>
        <w:jc w:val="center"/>
        <w:tblLook w:firstColumn="1" w:firstRow="1" w:lastColumn="0" w:lastRow="0" w:noHBand="0" w:noVBand="1" w:val="04A0"/>
      </w:tblPr>
      <w:tblGrid>
        <w:gridCol w:w="4929"/>
        <w:gridCol w:w="4929"/>
      </w:tblGrid>
      <w:tr>
        <w:tc>
          <w:tcPr>
            <w:tcW w:type="dxa" w:w="4929"/>
            <w:shd w:fill="EEF3F8"/>
          </w:tcPr>
          <w:p>
            <w:r>
              <w:rPr>
                <w:b/>
              </w:rPr>
              <w:t>Reihe</w:t>
            </w:r>
          </w:p>
        </w:tc>
        <w:tc>
          <w:tcPr>
            <w:tcW w:type="dxa" w:w="4929"/>
          </w:tcPr>
          <w:p>
            <w:r>
              <w:t>1. Abend der Bibelwoche 2026/2027 - „Dem Drachen ins Gesicht geschaut“</w:t>
            </w:r>
          </w:p>
        </w:tc>
      </w:tr>
      <w:tr>
        <w:tc>
          <w:tcPr>
            <w:tcW w:type="dxa" w:w="4929"/>
            <w:shd w:fill="EEF3F8"/>
          </w:tcPr>
          <w:p>
            <w:r>
              <w:rPr>
                <w:b/>
              </w:rPr>
              <w:t>Ort / Gruppe</w:t>
            </w:r>
          </w:p>
        </w:tc>
        <w:tc>
          <w:tcPr>
            <w:tcW w:type="dxa" w:w="4929"/>
          </w:tcPr>
          <w:p>
            <w:r>
              <w:t>Pfarrhaus Dobitschen / Bibelkreis</w:t>
            </w:r>
          </w:p>
        </w:tc>
      </w:tr>
      <w:tr>
        <w:tc>
          <w:tcPr>
            <w:tcW w:type="dxa" w:w="4929"/>
            <w:shd w:fill="EEF3F8"/>
          </w:tcPr>
          <w:p>
            <w:r>
              <w:rPr>
                <w:b/>
              </w:rPr>
              <w:t>Dauer</w:t>
            </w:r>
          </w:p>
        </w:tc>
        <w:tc>
          <w:tcPr>
            <w:tcW w:type="dxa" w:w="4929"/>
          </w:tcPr>
          <w:p>
            <w:r>
              <w:t>60 Minuten</w:t>
            </w:r>
          </w:p>
        </w:tc>
      </w:tr>
      <w:tr>
        <w:tc>
          <w:tcPr>
            <w:tcW w:type="dxa" w:w="4929"/>
            <w:shd w:fill="EEF3F8"/>
          </w:tcPr>
          <w:p>
            <w:r>
              <w:rPr>
                <w:b/>
              </w:rPr>
              <w:t>Modus</w:t>
            </w:r>
          </w:p>
        </w:tc>
        <w:tc>
          <w:tcPr>
            <w:tcW w:type="dxa" w:w="4929"/>
          </w:tcPr>
          <w:p>
            <w:r>
              <w:t>Exegese + Bibelarbeitsvorbereitung</w:t>
            </w:r>
          </w:p>
        </w:tc>
      </w:tr>
      <w:tr>
        <w:tc>
          <w:tcPr>
            <w:tcW w:type="dxa" w:w="4929"/>
            <w:shd w:fill="EEF3F8"/>
          </w:tcPr>
          <w:p>
            <w:r>
              <w:rPr>
                <w:b/>
              </w:rPr>
              <w:t>Leitfrage</w:t>
            </w:r>
          </w:p>
        </w:tc>
        <w:tc>
          <w:tcPr>
            <w:tcW w:type="dxa" w:w="4929"/>
          </w:tcPr>
          <w:p>
            <w:r>
              <w:t>Was ist die Offenbarung - und welche Rolle hat Jesus Christus dabei?</w:t>
            </w:r>
          </w:p>
        </w:tc>
      </w:tr>
    </w:tbl>
    <w:p>
      <w:r>
        <w:br w:type="page"/>
      </w:r>
    </w:p>
    <w:p>
      <w:pPr>
        <w:pStyle w:val="Heading1"/>
      </w:pPr>
      <w:r>
        <w:t>1. Kurzfazit / exegetischer Skopus</w:t>
      </w:r>
    </w:p>
    <w:p>
      <w:r>
        <w:t>Offb 1,1-3 ist weit mehr als eine formale Überschrift. Die drei Verse legen einen Leseschlüssel für das gesamte Buch bereit. Bevor von Drachen, Tieren, Katastrophen, Babylon oder dem neuen Jerusalem die Rede ist, steht am Anfang Jesus Christus.</w:t>
      </w:r>
    </w:p>
    <w:p>
      <w:r>
        <w:t>Der Text beschreibt zunächst eine Kommunikationsbewegung:</w:t>
      </w:r>
    </w:p>
    <w:p>
      <w:pPr>
        <w:jc w:val="center"/>
      </w:pPr>
      <w:r>
        <w:rPr>
          <w:b/>
        </w:rPr>
        <w:t>Gott -&gt; Jesus Christus -&gt; Engel -&gt; Johannes -&gt; die Diener Gottes / Gemeinden.</w:t>
      </w:r>
    </w:p>
    <w:p>
      <w:r>
        <w:t>Anschließend folgt die Bewegung der Aneignung:</w:t>
      </w:r>
    </w:p>
    <w:p>
      <w:pPr>
        <w:jc w:val="center"/>
      </w:pPr>
      <w:r>
        <w:rPr>
          <w:b/>
        </w:rPr>
        <w:t>vorlesen -&gt; hören -&gt; bewahren.</w:t>
      </w:r>
    </w:p>
    <w:p>
      <w:r>
        <w:t>Das Buch will deshalb nicht zuerst entschlüsselt, sondern gehört, verstanden und gelebt werden. Der Segen von V. 3 gilt nicht denen, die sämtliche Symbole korrekt berechnen können, sondern denen, die hören und „bewahren“.</w:t>
      </w:r>
    </w:p>
    <w:p>
      <w:r>
        <w:t>„Offenbarung Jesu Christi“ meint in V. 1 zunächst sehr wahrscheinlich eine Offenbarung, die von Jesus Christus herkommt: Gott gibt sie ihm, Christus vermittelt sie weiter. Dass zugleich Jesus Christus selbst im Gesamtbuch zum Gegenstand der Offenbarung wird, ist richtig, ergibt sich aber aus dem Buchganzen und sollte nicht vorschnell allein in den Genitiv von V. 1 hineingelesen werden.</w:t>
      </w:r>
    </w:p>
    <w:p>
      <w:r>
        <w:t>Die Wendungen „in Kürze“ und „die Zeit ist nahe“ müssen als wirkliche eschatologische Dringlichkeit ernst genommen werden. Eine Deutung, die daraus nur „irgendwann einmal sehr schnell“ macht, unterschätzt den Text. Strittig bleibt allerdings, wie Johannes diese Nähe genau versteht: als unmittelbar bevorstehenden Abschluss der Geschichte oder als bereits angebrochene endzeitliche Wirklichkeit, deren Vollendung bevorsteht.</w:t>
      </w:r>
    </w:p>
    <w:p>
      <w:pPr>
        <w:pStyle w:val="IntenseQuote"/>
      </w:pPr>
      <w:r>
        <w:t>Exegetischer Skopus: Offb 1,1-3 eröffnet das Buch als von Gott ausgehende und durch Jesus Christus vermittelte prophetische Offenbarung, die der Gemeinde ihre Wirklichkeit neu erschließt. Sie wird nicht gegeben, damit Christen über die Zukunft spekulieren, sondern damit sie angesichts der Nähe Gottes hören, verstehen und ihr Leben daran ausrichten.</w:t>
      </w:r>
    </w:p>
    <w:p>
      <w:pPr>
        <w:pStyle w:val="IntenseQuote"/>
      </w:pPr>
      <w:r>
        <w:t>Bibelarbeitskern: Wer dem Drachen ins Gesicht schauen will, muss zuerst wissen, von wem her er schaut: von Jesus Christus her.</w:t>
      </w:r>
    </w:p>
    <w:p>
      <w:pPr>
        <w:pStyle w:val="Heading1"/>
      </w:pPr>
      <w:r>
        <w:t>2. Materialprotokoll</w:t>
      </w:r>
    </w:p>
    <w:p>
      <w:r>
        <w:t>Die vorliegende Ausarbeitung folgt dem hochgeladenen „ChatGPT-LOOP für Exegese und Bibelarbeitsvorbereitung“, Version 1.1 (18.09.2026). Der LOOP fordert ausdrücklich, vorhandene Nutzerdateien vor Beginn der Exegese auszuwerten, zwischen Nutzerbeobachtungen, Fremdmaterial und externen Quellen zu unterscheiden und bereitgestellte Kommentarauszüge kritisch mit Urtext und Fachliteratur abzugleichen.</w:t>
      </w:r>
    </w:p>
    <w:p>
      <w:pPr>
        <w:pStyle w:val="Heading2"/>
      </w:pPr>
      <w:r>
        <w:t>Datei 1: LOOP V1.1</w:t>
      </w:r>
    </w:p>
    <w:p>
      <w:r>
        <w:t>Die Datei definiert den Arbeitsgang als echten LOOP: Recherche -&gt; Analyse -&gt; Gegenprüfung -&gt; Synthese -&gt; Gate. Nach der ersten exegetischen Landkarte soll eine zweite gezielte Recherche zu den strittigen Scharnierfragen folgen. Die geforderte Textbasis - Luther 2017, BasisBibel, NA28 und GNT6 - wurde berücksichtigt.</w:t>
      </w:r>
    </w:p>
    <w:p>
      <w:pPr>
        <w:pStyle w:val="Heading2"/>
      </w:pPr>
      <w:r>
        <w:t>Datei 2: „Kommentar - Offenbarung1.docx“</w:t>
      </w:r>
    </w:p>
    <w:p>
      <w:r>
        <w:t>Die Datei enthält umfangreiche Kommentarauszüge, keine eigenen Notizen des Nutzers. Aufbau und Überschriften stimmen mit Klaus Bergers Kommentar „Die Apokalypse des Johannes“ überein. Der bereitgestellte Ausschnitt zieht als Vergleich prophetische Buchanfänge wie Jeremia, Ezechiel und Amos heran und versteht deren Offenbarungseinleitungen als Legitimierung eines nicht allein menschlichen Ursprungs der Botschaft.</w:t>
      </w:r>
    </w:p>
    <w:p>
      <w:r>
        <w:t>Besonders berücksichtigt wurden Bergers Thesen zu „Offenbarung“ als legitimierendem Buchanfang, der Naherwartung, der Formel „was geschehen muss“, Daniel 2, der Vermittlung durch Christus und den Engel, Johannes als Zeugen, der Seligpreisung in V. 3 sowie dem Zusammenhang von Lesen, Hören und Bewahren.</w:t>
      </w:r>
    </w:p>
    <w:p>
      <w:r>
        <w:t>Bergers ausführliche These, die Formel „was geschehen muss“ führe über hellenistische Mantik und griechische Tragödie zur jüdisch-christlichen Apokalyptik, wurde nicht ungeprüft übernommen. Gerade an diesem Punkt führt die Gegenprüfung zu einer stärkeren Gewichtung der unmittelbaren Daniel-Intertextualität gegenüber einer weiter ausgreifenden religionsgeschichtlichen Genealogie.</w:t>
      </w:r>
    </w:p>
    <w:p>
      <w:pPr>
        <w:pStyle w:val="Heading1"/>
      </w:pPr>
      <w:r>
        <w:t>3. Quellen- und Rechercheprotokoll</w:t>
      </w:r>
    </w:p>
    <w:p>
      <w:pPr>
        <w:pStyle w:val="Heading2"/>
      </w:pPr>
      <w:r>
        <w:t>Primärtexte / Textkritik</w:t>
      </w:r>
    </w:p>
    <w:p>
      <w:pPr>
        <w:pStyle w:val="ListBullet"/>
      </w:pPr>
      <w:r>
        <w:t>NA28, Offenbarung 1</w:t>
      </w:r>
    </w:p>
    <w:p>
      <w:pPr>
        <w:pStyle w:val="ListBullet"/>
      </w:pPr>
      <w:r>
        <w:t>GNT6/UBS6 bzw. die dafür maßgebliche ECM VI</w:t>
      </w:r>
    </w:p>
    <w:p>
      <w:pPr>
        <w:pStyle w:val="ListBullet"/>
      </w:pPr>
      <w:r>
        <w:t>BHS, Daniel 2</w:t>
      </w:r>
    </w:p>
    <w:p>
      <w:pPr>
        <w:pStyle w:val="ListBullet"/>
      </w:pPr>
      <w:r>
        <w:t>Lutherbibel 2017</w:t>
      </w:r>
    </w:p>
    <w:p>
      <w:pPr>
        <w:pStyle w:val="ListBullet"/>
      </w:pPr>
      <w:r>
        <w:t>BasisBibel</w:t>
      </w:r>
    </w:p>
    <w:p>
      <w:r>
        <w:t>Die sechste Auflage des GNT übernimmt in der Offenbarung sämtliche Textentscheidungen der 2024 erschienenen ECM VI und besitzt dort einen vollständig neu bearbeiteten Apparat.</w:t>
      </w:r>
    </w:p>
    <w:p>
      <w:pPr>
        <w:pStyle w:val="Heading2"/>
      </w:pPr>
      <w:r>
        <w:t>Deutsche Bibelgesellschaft</w:t>
      </w:r>
    </w:p>
    <w:p>
      <w:pPr>
        <w:pStyle w:val="ListBullet"/>
      </w:pPr>
      <w:r>
        <w:t>Christfried Böttrich, WiBiLex: „Apokalyptik (NT)“</w:t>
      </w:r>
    </w:p>
    <w:p>
      <w:pPr>
        <w:pStyle w:val="ListBullet"/>
      </w:pPr>
      <w:r>
        <w:t>WiBiLex: „Apokalyptik (AT)“</w:t>
      </w:r>
    </w:p>
    <w:p>
      <w:pPr>
        <w:pStyle w:val="ListBullet"/>
      </w:pPr>
      <w:r>
        <w:t>Joachim Theis, WiReLex: „Offenbarung des Johannes, bibeldidaktisch“</w:t>
      </w:r>
    </w:p>
    <w:p>
      <w:pPr>
        <w:pStyle w:val="ListBullet"/>
      </w:pPr>
      <w:r>
        <w:t>Bibelkunde / Sachinformationen zur Offenbarung</w:t>
      </w:r>
    </w:p>
    <w:p>
      <w:pPr>
        <w:pStyle w:val="ListBullet"/>
      </w:pPr>
      <w:r>
        <w:t>EfP-Angebot geprüft</w:t>
      </w:r>
    </w:p>
    <w:p>
      <w:r>
        <w:t>Böttrich beschreibt apokalyptisches Denken nicht als Randphänomen, sondern als wesentlichen zeitgenössischen Horizont frühchristlicher Theologie und hebt zugleich hervor, dass die Johannesoffenbarung diese Tradition christologisch eigenständig verarbeitet.</w:t>
      </w:r>
    </w:p>
    <w:p>
      <w:pPr>
        <w:pStyle w:val="Heading2"/>
      </w:pPr>
      <w:r>
        <w:t>WiReLex</w:t>
      </w:r>
    </w:p>
    <w:p>
      <w:r>
        <w:t>Der einschlägige Artikel von Joachim Theis ist vorhanden. Er hebt insbesondere die Angstwirkung moderner Weltuntergangsszenarien sowie den didaktischen Wert hervor, Erfahrungen von Ohnmacht und bedrohten Lebenswelten ernst zu nehmen.</w:t>
      </w:r>
    </w:p>
    <w:p>
      <w:pPr>
        <w:pStyle w:val="Heading2"/>
      </w:pPr>
      <w:r>
        <w:t>Exegese für die Predigt</w:t>
      </w:r>
    </w:p>
    <w:p>
      <w:r>
        <w:t>Das Angebot wurde geprüft. Für Offb 1,1-3 liegt keine eigene EfP-Perikope vor. EfP folgt der evangelischen Perikopenordnung; in der aktuell veröffentlichten Reihe findet sich beispielsweise Offb 21,1-7 am Ewigkeitssonntag, nicht jedoch Offb 1,1-3.</w:t>
      </w:r>
    </w:p>
    <w:p>
      <w:pPr>
        <w:pStyle w:val="Heading2"/>
      </w:pPr>
      <w:r>
        <w:t>Weitere Fachliteratur</w:t>
      </w:r>
    </w:p>
    <w:p>
      <w:pPr>
        <w:pStyle w:val="ListBullet"/>
      </w:pPr>
      <w:r>
        <w:t>aktuelle Genre-Forschung</w:t>
      </w:r>
    </w:p>
    <w:p>
      <w:pPr>
        <w:pStyle w:val="ListBullet"/>
      </w:pPr>
      <w:r>
        <w:t>Forschung zum sozialen Umfeld der Johannesoffenbarung</w:t>
      </w:r>
    </w:p>
    <w:p>
      <w:pPr>
        <w:pStyle w:val="ListBullet"/>
      </w:pPr>
      <w:r>
        <w:t>zugängliche Kommentarpassagen von M. Eugene Boring, Grant R. Osborne und weiteren Kommentaren</w:t>
      </w:r>
    </w:p>
    <w:p>
      <w:pPr>
        <w:pStyle w:val="ListBullet"/>
      </w:pPr>
      <w:r>
        <w:t>Klaus Berger aus der bereitgestellten Datei</w:t>
      </w:r>
    </w:p>
    <w:p>
      <w:r>
        <w:t>Eine neuere Genre-Studie von Robert J. van Niekerk und Ernest van Eck warnt davor, aus dem ersten Wort apokalypsis vorschnell zu schließen, Johannes verwende hier bereits unseren späteren technischen Gattungsbegriff. Moderne Gattungsdefinitionen sind heuristische Kategorien.</w:t>
      </w:r>
    </w:p>
    <w:p>
      <w:pPr>
        <w:pStyle w:val="Heading1"/>
      </w:pPr>
      <w:r>
        <w:t>4. Textbasis und Übersetzungsvergleich</w:t>
      </w:r>
    </w:p>
    <w:p>
      <w:pPr>
        <w:pStyle w:val="Heading2"/>
      </w:pPr>
      <w:r>
        <w:t>4.1 NA28 / GNT6</w:t>
      </w:r>
    </w:p>
    <w:p>
      <w:r>
        <w:t>Der griechische Haupttext von Offb 1,1-3 enthält folgende Schlüsselwendungen:</w:t>
      </w:r>
    </w:p>
    <w:p>
      <w:pPr>
        <w:pStyle w:val="ListBullet"/>
      </w:pPr>
      <w:r>
        <w:t>ἀποκάλυψις Ἰησοῦ Χριστοῦ</w:t>
      </w:r>
    </w:p>
    <w:p>
      <w:pPr>
        <w:pStyle w:val="ListBullet"/>
      </w:pPr>
      <w:r>
        <w:t>ἃ δεῖ γενέσθαι ἐν τάχει</w:t>
      </w:r>
    </w:p>
    <w:p>
      <w:pPr>
        <w:pStyle w:val="ListBullet"/>
      </w:pPr>
      <w:r>
        <w:t>ἐσήμανεν</w:t>
      </w:r>
    </w:p>
    <w:p>
      <w:pPr>
        <w:pStyle w:val="ListBullet"/>
      </w:pPr>
      <w:r>
        <w:t>τὸν λόγον τοῦ θεοῦ</w:t>
      </w:r>
    </w:p>
    <w:p>
      <w:pPr>
        <w:pStyle w:val="ListBullet"/>
      </w:pPr>
      <w:r>
        <w:t>τὴν μαρτυρίαν Ἰησοῦ Χριστοῦ</w:t>
      </w:r>
    </w:p>
    <w:p>
      <w:pPr>
        <w:pStyle w:val="ListBullet"/>
      </w:pPr>
      <w:r>
        <w:t>μακάριος ὁ ἀναγινώσκων</w:t>
      </w:r>
    </w:p>
    <w:p>
      <w:pPr>
        <w:pStyle w:val="ListBullet"/>
      </w:pPr>
      <w:r>
        <w:t>οἱ ἀκούοντες</w:t>
      </w:r>
    </w:p>
    <w:p>
      <w:pPr>
        <w:pStyle w:val="ListBullet"/>
      </w:pPr>
      <w:r>
        <w:t>τηροῦντες</w:t>
      </w:r>
    </w:p>
    <w:p>
      <w:pPr>
        <w:pStyle w:val="ListBullet"/>
      </w:pPr>
      <w:r>
        <w:t>ὁ γὰρ καιρὸς ἐγγύς</w:t>
      </w:r>
    </w:p>
    <w:p>
      <w:pPr>
        <w:pStyle w:val="Heading3"/>
      </w:pPr>
      <w:r>
        <w:t>Ergebnis des NA28/GNT6-Abgleichs</w:t>
      </w:r>
    </w:p>
    <w:p>
      <w:r>
        <w:t>Für Offb 1,1-3 besteht zwischen NA28 und dem von GNT6 übernommenen ECM-Haupttext kein exegetisch relevanter Wortlautunterschied. Die ECM dokumentiert Varianten, etwa zu V. 2 nach εἶδεν sowie zur Singular-/Pluralgestaltung von Leser und Hörern in V. 3. Keine dieser Varianten wurde jedoch in den neuen Haupttext übernommen.</w:t>
      </w:r>
    </w:p>
    <w:p>
      <w:pPr>
        <w:pStyle w:val="IntenseQuote"/>
      </w:pPr>
      <w:r>
        <w:t>Evidenzgrad: GUT BELEGT. An keiner der folgenden Hauptaussagen muss aufgrund des neuen GNT6 eine bisherige Exegese geändert werden.</w:t>
      </w:r>
    </w:p>
    <w:p>
      <w:pPr>
        <w:pStyle w:val="Heading2"/>
      </w:pPr>
      <w:r>
        <w:t>4.2 Luther 2017 und BasisBibel</w:t>
      </w:r>
    </w:p>
    <w:p>
      <w:pPr>
        <w:pStyle w:val="Heading3"/>
      </w:pPr>
      <w:r>
        <w:t>V. 1 - „Offenbarung Jesu Christi“</w:t>
      </w:r>
    </w:p>
    <w:p>
      <w:r>
        <w:t>Luther lässt den Genitiv offen: „Offenbarung Jesu Christi“. Die BasisBibel löst ihn dagegen explizit als Herkunftsangabe auf: Jesus Christus hat die Offenbarung von Gott empfangen. Die BasisBibel trifft hier wahrscheinlich den unmittelbaren syntaktischen Schwerpunkt: Der folgende Relativsatz erklärt ausdrücklich, dass Gott die Offenbarung ihm gegeben hat.</w:t>
      </w:r>
    </w:p>
    <w:p>
      <w:pPr>
        <w:pStyle w:val="IntenseQuote"/>
      </w:pPr>
      <w:r>
        <w:t>Bewertung: subjektiver bzw. Herkunftsgenitiv GUT BEGRÜNDET. Dass Jesus zugleich im ganzen Buch der offenbarte Christus ist, bleibt richtig, ist aber eine kanonisch-literarische Weiterführung, keine zwingende grammatische Bedeutung des Genitivs allein.</w:t>
      </w:r>
    </w:p>
    <w:p>
      <w:pPr>
        <w:pStyle w:val="Heading3"/>
      </w:pPr>
      <w:r>
        <w:t>V. 1 - ἐσήμανεν</w:t>
      </w:r>
    </w:p>
    <w:p>
      <w:r>
        <w:t>Luther: „gedeutet“; BasisBibel: „bekannt zu machen“. σημαίνω kann „anzeigen, kundtun, signalisieren“ bedeuten. Der Begriff darf nicht allein aufgrund seiner Wortgestalt zu „in geheimen Symbolen verschlüsseln“ überladen werden.</w:t>
      </w:r>
    </w:p>
    <w:p>
      <w:pPr>
        <w:pStyle w:val="ListBullet"/>
      </w:pPr>
      <w:r>
        <w:t>„kundtun/anzeigen“ - GUT BELEGT</w:t>
      </w:r>
    </w:p>
    <w:p>
      <w:pPr>
        <w:pStyle w:val="ListBullet"/>
      </w:pPr>
      <w:r>
        <w:t>„symbolisch anzeigen“ - PLAUSIBEL</w:t>
      </w:r>
    </w:p>
    <w:p>
      <w:pPr>
        <w:pStyle w:val="ListBullet"/>
      </w:pPr>
      <w:r>
        <w:t>„verschlüsseln“ - NICHT BELEGT</w:t>
      </w:r>
    </w:p>
    <w:p>
      <w:pPr>
        <w:pStyle w:val="Heading3"/>
      </w:pPr>
      <w:r>
        <w:t>V. 2 - μαρτυρία Ἰησοῦ Χριστοῦ</w:t>
      </w:r>
    </w:p>
    <w:p>
      <w:r>
        <w:t>Luther lässt mit „Zeugnis von Jesus Christus“ die Richtung weitgehend offen. Die BasisBibel entscheidet: das, „was Jesus Christus bezeugt“. Grammatisch sind grundsätzlich möglich:</w:t>
      </w:r>
    </w:p>
    <w:p>
      <w:r>
        <w:t>1. Zeugnis von Jesus - Jesus bezeugt.</w:t>
      </w:r>
    </w:p>
    <w:p>
      <w:r>
        <w:t>2. Zeugnis über Jesus - Johannes bzw. die Gemeinde bezeugt Jesus.</w:t>
      </w:r>
    </w:p>
    <w:p>
      <w:r>
        <w:t>Im unmittelbaren Kontext von V. 1 spricht einiges für Jesus als Quelle der Botschaft. Im Buchganzen wird die Formel jedoch komplexer verwendet.</w:t>
      </w:r>
    </w:p>
    <w:p>
      <w:pPr>
        <w:pStyle w:val="IntenseQuote"/>
      </w:pPr>
      <w:r>
        <w:t>Ergebnis: nicht dogmatisch festlegen. Evidenzgrad: PLAUSIBEL, aber UMSTRITTEN.</w:t>
      </w:r>
    </w:p>
    <w:p>
      <w:pPr>
        <w:pStyle w:val="Heading3"/>
      </w:pPr>
      <w:r>
        <w:t>V. 3 - τηρεῖν</w:t>
      </w:r>
    </w:p>
    <w:p>
      <w:r>
        <w:t>Luther: „behalten“; BasisBibel: „befolgen“. Beide treffen einen Teil der Bedeutung. τηρέω bedeutet nicht bloß kognitiv „im Gedächtnis behalten“, sondern auch festhalten, bewahren, beachten. Die BasisBibel macht den Handlungsaspekt stärker sichtbar.</w:t>
      </w:r>
    </w:p>
    <w:p>
      <w:pPr>
        <w:pStyle w:val="IntenseQuote"/>
      </w:pPr>
      <w:r>
        <w:t>Entscheidend: Die Offenbarung verlangt eine existentielle Reaktion.</w:t>
      </w:r>
    </w:p>
    <w:p>
      <w:pPr>
        <w:pStyle w:val="Heading1"/>
      </w:pPr>
      <w:r>
        <w:t>5. Perikope, Gattung, Struktur und Textbewegung</w:t>
      </w:r>
    </w:p>
    <w:p>
      <w:pPr>
        <w:pStyle w:val="Heading2"/>
      </w:pPr>
      <w:r>
        <w:t>5.1 Abgrenzung</w:t>
      </w:r>
    </w:p>
    <w:p>
      <w:r>
        <w:t>Offb 1,1-3 bildet eine eigenständige und gut begründbare Einheit. V. 4 setzt mit dem brieflichen Präskript „Johannes an die sieben Gemeinden“ neu ein. Die BasisBibel überschreibt 1,1-3 entsprechend als „Vorwort“.</w:t>
      </w:r>
    </w:p>
    <w:p>
      <w:r>
        <w:t>Mögliche größere Abgrenzungen sind:</w:t>
      </w:r>
    </w:p>
    <w:p>
      <w:pPr>
        <w:pStyle w:val="ListBullet"/>
      </w:pPr>
      <w:r>
        <w:t>1,1-3: Proömium / Superscriptio</w:t>
      </w:r>
    </w:p>
    <w:p>
      <w:pPr>
        <w:pStyle w:val="ListBullet"/>
      </w:pPr>
      <w:r>
        <w:t>1,1-8: gesamte Bucheröffnung</w:t>
      </w:r>
    </w:p>
    <w:p>
      <w:pPr>
        <w:pStyle w:val="ListBullet"/>
      </w:pPr>
      <w:r>
        <w:t>1,1-20: umfassende Einführung und Berufungs-/Christusvision</w:t>
      </w:r>
    </w:p>
    <w:p>
      <w:r>
        <w:t>Für den ersten Bibelabend ist 1,1-3 jedoch besonders geeignet, weil der Text den Lesevertrag für das ganze Buch formuliert.</w:t>
      </w:r>
    </w:p>
    <w:p>
      <w:pPr>
        <w:pStyle w:val="Heading2"/>
      </w:pPr>
      <w:r>
        <w:t>5.2 Gattung</w:t>
      </w:r>
    </w:p>
    <w:p>
      <w:r>
        <w:t>V. 1: ἀποκάλυψις - Offenbarung; V. 3: προφητεία - Prophetie; V. 4ff.: briefliche Kommunikation an konkrete Gemeinden. Deshalb ist eine einfache Etikettierung „Das ist eine Apokalypse, also funktioniert alles nach festen Apokalypse-Regeln“ zu grob.</w:t>
      </w:r>
    </w:p>
    <w:p>
      <w:pPr>
        <w:pStyle w:val="IntenseQuote"/>
      </w:pPr>
      <w:r>
        <w:t>Für die Bibelarbeit reicht: Die Offenbarung ist prophetische Offenbarung in einer stark visionären und symbolischen Sprache, die zugleich als Schreiben an konkrete Gemeinden kommuniziert wird.</w:t>
      </w:r>
    </w:p>
    <w:p>
      <w:pPr>
        <w:pStyle w:val="Heading2"/>
      </w:pPr>
      <w:r>
        <w:t>5.3 Textbewegung</w:t>
      </w:r>
    </w:p>
    <w:p>
      <w:pPr>
        <w:pStyle w:val="ListBullet"/>
      </w:pPr>
      <w:r>
        <w:t>Bewegung 1 - V. 1: Die Offenbarung kommt von Gott und wird durch Christus vermittelt.</w:t>
      </w:r>
    </w:p>
    <w:p>
      <w:pPr>
        <w:pStyle w:val="ListBullet"/>
      </w:pPr>
      <w:r>
        <w:t>Bewegung 2 - V. 2: Johannes empfängt nicht nur - er wird Zeuge.</w:t>
      </w:r>
    </w:p>
    <w:p>
      <w:pPr>
        <w:pStyle w:val="ListBullet"/>
      </w:pPr>
      <w:r>
        <w:t>Bewegung 3 - V. 3: Aus dem Zeugnis wird öffentlich gelesene, gehörte und bewahrte Botschaft.</w:t>
      </w:r>
    </w:p>
    <w:p>
      <w:pPr>
        <w:pStyle w:val="IntenseQuote"/>
      </w:pPr>
      <w:r>
        <w:t>Damit läuft die Bewegung: Offenbarung -&gt; Zeugnis -&gt; Gemeinde. Oder noch kürzer: Gott gibt - Christus vermittelt - Johannes bezeugt - die Gemeinde hört und bewahrt.</w:t>
      </w:r>
    </w:p>
    <w:p>
      <w:pPr>
        <w:pStyle w:val="Heading1"/>
      </w:pPr>
      <w:r>
        <w:t>6. Urtext, Syntax, Semantik und Textkritik</w:t>
      </w:r>
    </w:p>
    <w:tbl>
      <w:tblPr>
        <w:tblStyle w:val="TableGrid"/>
        <w:tblW w:type="auto" w:w="0"/>
        <w:jc w:val="center"/>
        <w:tblLook w:firstColumn="1" w:firstRow="1" w:lastColumn="0" w:lastRow="0" w:noHBand="0" w:noVBand="1" w:val="04A0"/>
      </w:tblPr>
      <w:tblGrid>
        <w:gridCol w:w="2464"/>
        <w:gridCol w:w="2464"/>
        <w:gridCol w:w="2464"/>
        <w:gridCol w:w="2464"/>
      </w:tblGrid>
      <w:tr>
        <w:trPr>
          <w:tblHeader w:val="true"/>
        </w:trPr>
        <w:tc>
          <w:tcPr>
            <w:tcW w:type="dxa" w:w="1984"/>
            <w:shd w:fill="D9E2F3"/>
            <w:vAlign w:val="center"/>
          </w:tcPr>
          <w:p>
            <w:r>
              <w:rPr>
                <w:b/>
                <w:sz w:val="17"/>
              </w:rPr>
              <w:t>Ausdruck</w:t>
            </w:r>
          </w:p>
        </w:tc>
        <w:tc>
          <w:tcPr>
            <w:tcW w:type="dxa" w:w="1984"/>
            <w:shd w:fill="D9E2F3"/>
            <w:vAlign w:val="center"/>
          </w:tcPr>
          <w:p>
            <w:r>
              <w:rPr>
                <w:b/>
                <w:sz w:val="17"/>
              </w:rPr>
              <w:t>Beobachtung</w:t>
            </w:r>
          </w:p>
        </w:tc>
        <w:tc>
          <w:tcPr>
            <w:tcW w:type="dxa" w:w="3969"/>
            <w:shd w:fill="D9E2F3"/>
            <w:vAlign w:val="center"/>
          </w:tcPr>
          <w:p>
            <w:r>
              <w:rPr>
                <w:b/>
                <w:sz w:val="17"/>
              </w:rPr>
              <w:t>Auslegungsfolge</w:t>
            </w:r>
          </w:p>
        </w:tc>
        <w:tc>
          <w:tcPr>
            <w:tcW w:type="dxa" w:w="1701"/>
            <w:shd w:fill="D9E2F3"/>
            <w:vAlign w:val="center"/>
          </w:tcPr>
          <w:p>
            <w:r>
              <w:rPr>
                <w:b/>
                <w:sz w:val="17"/>
              </w:rPr>
              <w:t>Evidenz</w:t>
            </w:r>
          </w:p>
        </w:tc>
      </w:tr>
      <w:tr>
        <w:tc>
          <w:tcPr>
            <w:tcW w:type="dxa" w:w="1984"/>
            <w:vAlign w:val="top"/>
          </w:tcPr>
          <w:p>
            <w:r>
              <w:rPr>
                <w:sz w:val="17"/>
              </w:rPr>
              <w:t>ἀποκάλυψις</w:t>
            </w:r>
          </w:p>
        </w:tc>
        <w:tc>
          <w:tcPr>
            <w:tcW w:type="dxa" w:w="1984"/>
            <w:vAlign w:val="top"/>
          </w:tcPr>
          <w:p>
            <w:r>
              <w:rPr>
                <w:sz w:val="17"/>
              </w:rPr>
              <w:t>Enthüllung/Kundgabe</w:t>
            </w:r>
          </w:p>
        </w:tc>
        <w:tc>
          <w:tcPr>
            <w:tcW w:type="dxa" w:w="3969"/>
            <w:vAlign w:val="top"/>
          </w:tcPr>
          <w:p>
            <w:r>
              <w:rPr>
                <w:sz w:val="17"/>
              </w:rPr>
              <w:t>Wirklichkeit wird von Gott her sichtbar gemacht</w:t>
            </w:r>
          </w:p>
        </w:tc>
        <w:tc>
          <w:tcPr>
            <w:tcW w:type="dxa" w:w="1701"/>
            <w:vAlign w:val="top"/>
          </w:tcPr>
          <w:p>
            <w:r>
              <w:rPr>
                <w:sz w:val="17"/>
              </w:rPr>
              <w:t>gut belegt</w:t>
            </w:r>
          </w:p>
        </w:tc>
      </w:tr>
      <w:tr>
        <w:tc>
          <w:tcPr>
            <w:tcW w:type="dxa" w:w="1984"/>
            <w:vAlign w:val="top"/>
          </w:tcPr>
          <w:p>
            <w:r>
              <w:rPr>
                <w:sz w:val="17"/>
              </w:rPr>
              <w:t>Ἰησοῦ Χριστοῦ</w:t>
            </w:r>
          </w:p>
        </w:tc>
        <w:tc>
          <w:tcPr>
            <w:tcW w:type="dxa" w:w="1984"/>
            <w:vAlign w:val="top"/>
          </w:tcPr>
          <w:p>
            <w:r>
              <w:rPr>
                <w:sz w:val="17"/>
              </w:rPr>
              <w:t>Genitiv</w:t>
            </w:r>
          </w:p>
        </w:tc>
        <w:tc>
          <w:tcPr>
            <w:tcW w:type="dxa" w:w="3969"/>
            <w:vAlign w:val="top"/>
          </w:tcPr>
          <w:p>
            <w:r>
              <w:rPr>
                <w:sz w:val="17"/>
              </w:rPr>
              <w:t>primär von Christus her; Christus zugleich im Buch Gegenstand der Offenbarung</w:t>
            </w:r>
          </w:p>
        </w:tc>
        <w:tc>
          <w:tcPr>
            <w:tcW w:type="dxa" w:w="1701"/>
            <w:vAlign w:val="top"/>
          </w:tcPr>
          <w:p>
            <w:r>
              <w:rPr>
                <w:sz w:val="17"/>
              </w:rPr>
              <w:t>gut begründet</w:t>
            </w:r>
          </w:p>
        </w:tc>
      </w:tr>
      <w:tr>
        <w:tc>
          <w:tcPr>
            <w:tcW w:type="dxa" w:w="1984"/>
            <w:vAlign w:val="top"/>
          </w:tcPr>
          <w:p>
            <w:r>
              <w:rPr>
                <w:sz w:val="17"/>
              </w:rPr>
              <w:t>δεῖ</w:t>
            </w:r>
          </w:p>
        </w:tc>
        <w:tc>
          <w:tcPr>
            <w:tcW w:type="dxa" w:w="1984"/>
            <w:vAlign w:val="top"/>
          </w:tcPr>
          <w:p>
            <w:r>
              <w:rPr>
                <w:sz w:val="17"/>
              </w:rPr>
              <w:t>„es muss“</w:t>
            </w:r>
          </w:p>
        </w:tc>
        <w:tc>
          <w:tcPr>
            <w:tcW w:type="dxa" w:w="3969"/>
            <w:vAlign w:val="top"/>
          </w:tcPr>
          <w:p>
            <w:r>
              <w:rPr>
                <w:sz w:val="17"/>
              </w:rPr>
              <w:t>Notwendigkeit innerhalb des göttlichen Geschichtshandelns</w:t>
            </w:r>
          </w:p>
        </w:tc>
        <w:tc>
          <w:tcPr>
            <w:tcW w:type="dxa" w:w="1701"/>
            <w:vAlign w:val="top"/>
          </w:tcPr>
          <w:p>
            <w:r>
              <w:rPr>
                <w:sz w:val="17"/>
              </w:rPr>
              <w:t>gut belegt</w:t>
            </w:r>
          </w:p>
        </w:tc>
      </w:tr>
      <w:tr>
        <w:tc>
          <w:tcPr>
            <w:tcW w:type="dxa" w:w="1984"/>
            <w:vAlign w:val="top"/>
          </w:tcPr>
          <w:p>
            <w:r>
              <w:rPr>
                <w:sz w:val="17"/>
              </w:rPr>
              <w:t>ἐν τάχει</w:t>
            </w:r>
          </w:p>
        </w:tc>
        <w:tc>
          <w:tcPr>
            <w:tcW w:type="dxa" w:w="1984"/>
            <w:vAlign w:val="top"/>
          </w:tcPr>
          <w:p>
            <w:r>
              <w:rPr>
                <w:sz w:val="17"/>
              </w:rPr>
              <w:t>in Kürze/bald</w:t>
            </w:r>
          </w:p>
        </w:tc>
        <w:tc>
          <w:tcPr>
            <w:tcW w:type="dxa" w:w="3969"/>
            <w:vAlign w:val="top"/>
          </w:tcPr>
          <w:p>
            <w:r>
              <w:rPr>
                <w:sz w:val="17"/>
              </w:rPr>
              <w:t>reale Dringlichkeit, nicht bloß Geschwindigkeit</w:t>
            </w:r>
          </w:p>
        </w:tc>
        <w:tc>
          <w:tcPr>
            <w:tcW w:type="dxa" w:w="1701"/>
            <w:vAlign w:val="top"/>
          </w:tcPr>
          <w:p>
            <w:r>
              <w:rPr>
                <w:sz w:val="17"/>
              </w:rPr>
              <w:t>gut belegt</w:t>
            </w:r>
          </w:p>
        </w:tc>
      </w:tr>
      <w:tr>
        <w:tc>
          <w:tcPr>
            <w:tcW w:type="dxa" w:w="1984"/>
            <w:vAlign w:val="top"/>
          </w:tcPr>
          <w:p>
            <w:r>
              <w:rPr>
                <w:sz w:val="17"/>
              </w:rPr>
              <w:t>ἐσήμανεν</w:t>
            </w:r>
          </w:p>
        </w:tc>
        <w:tc>
          <w:tcPr>
            <w:tcW w:type="dxa" w:w="1984"/>
            <w:vAlign w:val="top"/>
          </w:tcPr>
          <w:p>
            <w:r>
              <w:rPr>
                <w:sz w:val="17"/>
              </w:rPr>
              <w:t>anzeigen/kundtun</w:t>
            </w:r>
          </w:p>
        </w:tc>
        <w:tc>
          <w:tcPr>
            <w:tcW w:type="dxa" w:w="3969"/>
            <w:vAlign w:val="top"/>
          </w:tcPr>
          <w:p>
            <w:r>
              <w:rPr>
                <w:sz w:val="17"/>
              </w:rPr>
              <w:t>symbolische Vermittlung möglich, keine lexikalische „Verschlüsselung“</w:t>
            </w:r>
          </w:p>
        </w:tc>
        <w:tc>
          <w:tcPr>
            <w:tcW w:type="dxa" w:w="1701"/>
            <w:vAlign w:val="top"/>
          </w:tcPr>
          <w:p>
            <w:r>
              <w:rPr>
                <w:sz w:val="17"/>
              </w:rPr>
              <w:t>plausibel</w:t>
            </w:r>
          </w:p>
        </w:tc>
      </w:tr>
      <w:tr>
        <w:tc>
          <w:tcPr>
            <w:tcW w:type="dxa" w:w="1984"/>
            <w:vAlign w:val="top"/>
          </w:tcPr>
          <w:p>
            <w:r>
              <w:rPr>
                <w:sz w:val="17"/>
              </w:rPr>
              <w:t>ἐμαρτύρησεν</w:t>
            </w:r>
          </w:p>
        </w:tc>
        <w:tc>
          <w:tcPr>
            <w:tcW w:type="dxa" w:w="1984"/>
            <w:vAlign w:val="top"/>
          </w:tcPr>
          <w:p>
            <w:r>
              <w:rPr>
                <w:sz w:val="17"/>
              </w:rPr>
              <w:t>bezeugen</w:t>
            </w:r>
          </w:p>
        </w:tc>
        <w:tc>
          <w:tcPr>
            <w:tcW w:type="dxa" w:w="3969"/>
            <w:vAlign w:val="top"/>
          </w:tcPr>
          <w:p>
            <w:r>
              <w:rPr>
                <w:sz w:val="17"/>
              </w:rPr>
              <w:t>Johannes tritt als Zeuge des Empfangenen auf</w:t>
            </w:r>
          </w:p>
        </w:tc>
        <w:tc>
          <w:tcPr>
            <w:tcW w:type="dxa" w:w="1701"/>
            <w:vAlign w:val="top"/>
          </w:tcPr>
          <w:p>
            <w:r>
              <w:rPr>
                <w:sz w:val="17"/>
              </w:rPr>
              <w:t>gut belegt</w:t>
            </w:r>
          </w:p>
        </w:tc>
      </w:tr>
      <w:tr>
        <w:tc>
          <w:tcPr>
            <w:tcW w:type="dxa" w:w="1984"/>
            <w:vAlign w:val="top"/>
          </w:tcPr>
          <w:p>
            <w:r>
              <w:rPr>
                <w:sz w:val="17"/>
              </w:rPr>
              <w:t>μαρτυρία Ἰησοῦ</w:t>
            </w:r>
          </w:p>
        </w:tc>
        <w:tc>
          <w:tcPr>
            <w:tcW w:type="dxa" w:w="1984"/>
            <w:vAlign w:val="top"/>
          </w:tcPr>
          <w:p>
            <w:r>
              <w:rPr>
                <w:sz w:val="17"/>
              </w:rPr>
              <w:t>Zeugnis Jesu / über Jesus</w:t>
            </w:r>
          </w:p>
        </w:tc>
        <w:tc>
          <w:tcPr>
            <w:tcW w:type="dxa" w:w="3969"/>
            <w:vAlign w:val="top"/>
          </w:tcPr>
          <w:p>
            <w:r>
              <w:rPr>
                <w:sz w:val="17"/>
              </w:rPr>
              <w:t>Richtung des Genitivs nicht endgültig entscheidbar</w:t>
            </w:r>
          </w:p>
        </w:tc>
        <w:tc>
          <w:tcPr>
            <w:tcW w:type="dxa" w:w="1701"/>
            <w:vAlign w:val="top"/>
          </w:tcPr>
          <w:p>
            <w:r>
              <w:rPr>
                <w:sz w:val="17"/>
              </w:rPr>
              <w:t>umstritten</w:t>
            </w:r>
          </w:p>
        </w:tc>
      </w:tr>
      <w:tr>
        <w:tc>
          <w:tcPr>
            <w:tcW w:type="dxa" w:w="1984"/>
            <w:vAlign w:val="top"/>
          </w:tcPr>
          <w:p>
            <w:r>
              <w:rPr>
                <w:sz w:val="17"/>
              </w:rPr>
              <w:t>ἀναγινώσκων / ἀκούοντες</w:t>
            </w:r>
          </w:p>
        </w:tc>
        <w:tc>
          <w:tcPr>
            <w:tcW w:type="dxa" w:w="1984"/>
            <w:vAlign w:val="top"/>
          </w:tcPr>
          <w:p>
            <w:r>
              <w:rPr>
                <w:sz w:val="17"/>
              </w:rPr>
              <w:t>ein Lesender, mehrere Hörende</w:t>
            </w:r>
          </w:p>
        </w:tc>
        <w:tc>
          <w:tcPr>
            <w:tcW w:type="dxa" w:w="3969"/>
            <w:vAlign w:val="top"/>
          </w:tcPr>
          <w:p>
            <w:r>
              <w:rPr>
                <w:sz w:val="17"/>
              </w:rPr>
              <w:t>öffentliche/gemeinschaftliche Rezeption</w:t>
            </w:r>
          </w:p>
        </w:tc>
        <w:tc>
          <w:tcPr>
            <w:tcW w:type="dxa" w:w="1701"/>
            <w:vAlign w:val="top"/>
          </w:tcPr>
          <w:p>
            <w:r>
              <w:rPr>
                <w:sz w:val="17"/>
              </w:rPr>
              <w:t>sehr gut belegt</w:t>
            </w:r>
          </w:p>
        </w:tc>
      </w:tr>
      <w:tr>
        <w:tc>
          <w:tcPr>
            <w:tcW w:type="dxa" w:w="1984"/>
            <w:vAlign w:val="top"/>
          </w:tcPr>
          <w:p>
            <w:r>
              <w:rPr>
                <w:sz w:val="17"/>
              </w:rPr>
              <w:t>τηροῦντες</w:t>
            </w:r>
          </w:p>
        </w:tc>
        <w:tc>
          <w:tcPr>
            <w:tcW w:type="dxa" w:w="1984"/>
            <w:vAlign w:val="top"/>
          </w:tcPr>
          <w:p>
            <w:r>
              <w:rPr>
                <w:sz w:val="17"/>
              </w:rPr>
              <w:t>bewahren/beachten</w:t>
            </w:r>
          </w:p>
        </w:tc>
        <w:tc>
          <w:tcPr>
            <w:tcW w:type="dxa" w:w="3969"/>
            <w:vAlign w:val="top"/>
          </w:tcPr>
          <w:p>
            <w:r>
              <w:rPr>
                <w:sz w:val="17"/>
              </w:rPr>
              <w:t>Hören zielt auf Lebenspraxis</w:t>
            </w:r>
          </w:p>
        </w:tc>
        <w:tc>
          <w:tcPr>
            <w:tcW w:type="dxa" w:w="1701"/>
            <w:vAlign w:val="top"/>
          </w:tcPr>
          <w:p>
            <w:r>
              <w:rPr>
                <w:sz w:val="17"/>
              </w:rPr>
              <w:t>gut belegt</w:t>
            </w:r>
          </w:p>
        </w:tc>
      </w:tr>
      <w:tr>
        <w:tc>
          <w:tcPr>
            <w:tcW w:type="dxa" w:w="1984"/>
            <w:vAlign w:val="top"/>
          </w:tcPr>
          <w:p>
            <w:r>
              <w:rPr>
                <w:sz w:val="17"/>
              </w:rPr>
              <w:t>καιρὸς ἐγγύς</w:t>
            </w:r>
          </w:p>
        </w:tc>
        <w:tc>
          <w:tcPr>
            <w:tcW w:type="dxa" w:w="1984"/>
            <w:vAlign w:val="top"/>
          </w:tcPr>
          <w:p>
            <w:r>
              <w:rPr>
                <w:sz w:val="17"/>
              </w:rPr>
              <w:t>Zeitpunkt ist nahe</w:t>
            </w:r>
          </w:p>
        </w:tc>
        <w:tc>
          <w:tcPr>
            <w:tcW w:type="dxa" w:w="3969"/>
            <w:vAlign w:val="top"/>
          </w:tcPr>
          <w:p>
            <w:r>
              <w:rPr>
                <w:sz w:val="17"/>
              </w:rPr>
              <w:t>eschatologische Dringlichkeit</w:t>
            </w:r>
          </w:p>
        </w:tc>
        <w:tc>
          <w:tcPr>
            <w:tcW w:type="dxa" w:w="1701"/>
            <w:vAlign w:val="top"/>
          </w:tcPr>
          <w:p>
            <w:r>
              <w:rPr>
                <w:sz w:val="17"/>
              </w:rPr>
              <w:t>sehr gut belegt</w:t>
            </w:r>
          </w:p>
        </w:tc>
      </w:tr>
    </w:tbl>
    <w:p>
      <w:pPr>
        <w:pStyle w:val="Heading1"/>
      </w:pPr>
      <w:r>
        <w:t>7. Historischer und sozialer Kontext</w:t>
      </w:r>
    </w:p>
    <w:p>
      <w:r>
        <w:t>Hier ist gegenüber älteren Auslegungen Vorsicht nötig. Der bereitgestellte Berger-Kommentar verbindet die Offenbarung relativ stark mit Gefährdung bzw. Verfolgung unter Domitian. Das traditionelle Modell einer reichsweiten systematischen Christenverfolgung durch Domitian wird von der neueren Forschung jedoch deutlich relativiert.</w:t>
      </w:r>
    </w:p>
    <w:p>
      <w:r>
        <w:t>Thomas B. Slater kommt in seiner Untersuchung zum sozialen Umfeld zu dem Ergebnis, dass für das späte 1. Jahrhundert keine reichsweite Christenverfolgung unter Domitian vorausgesetzt werden sollte. Er sieht aber reale soziale und religiös-politische Anpassungszwänge gegenüber Christen in der römischen Provinz Asia.</w:t>
      </w:r>
    </w:p>
    <w:p>
      <w:pPr>
        <w:pStyle w:val="Heading2"/>
      </w:pPr>
      <w:r>
        <w:t>Korrektur nach Gegenprüfung</w:t>
      </w:r>
    </w:p>
    <w:p>
      <w:pPr>
        <w:pStyle w:val="IntenseQuote"/>
      </w:pPr>
      <w:r>
        <w:t>Nicht: „Johannes schreibt während einer großen staatlichen Christenverfolgung Domitians.“</w:t>
      </w:r>
    </w:p>
    <w:p>
      <w:pPr>
        <w:pStyle w:val="IntenseQuote"/>
      </w:pPr>
      <w:r>
        <w:t>Sondern vorsichtiger: Die Offenbarung richtet sich an Gemeinden in römischer Herrschaftswirklichkeit, die soziale, religiöse und politische Loyalitätskonflikte und teilweise konkrete Bedrängnis erleben.</w:t>
      </w:r>
    </w:p>
    <w:p>
      <w:r>
        <w:t>Evidenzgrad: PLAUSIBEL bis GUT BELEGT. Für Offb 1,1-3 selbst braucht diese historische Rekonstruktion ohnehin kein großes Gewicht zu erhalten.</w:t>
      </w:r>
    </w:p>
    <w:p>
      <w:pPr>
        <w:pStyle w:val="Heading1"/>
      </w:pPr>
      <w:r>
        <w:t>8. Intertextualität, Paralleltexte und Motive</w:t>
      </w:r>
    </w:p>
    <w:p>
      <w:pPr>
        <w:pStyle w:val="Heading2"/>
      </w:pPr>
      <w:r>
        <w:t>8.1 Daniel 2 - der wichtigste Schlüssel</w:t>
      </w:r>
    </w:p>
    <w:p>
      <w:r>
        <w:t>Das aramäische Danielbuch spricht davon, dass Gott Geheimnisse offenbart und bekannt macht, was geschehen wird. Dan 2,45 schließt ebenfalls damit, dass Gott dem König kundgetan hat, was danach geschehen wird. Die griechische Danielüberlieferung ist für Offb 1,1 besonders wichtig. Die Formulierung „was geschehen muss“ steht dort bereits in engem Zusammenhang mit der Offenbarung zukünftigen göttlichen Handelns.</w:t>
      </w:r>
    </w:p>
    <w:p>
      <w:pPr>
        <w:pStyle w:val="IntenseQuote"/>
      </w:pPr>
      <w:r>
        <w:t>Konsequenz: Johannes behauptet nicht: „Ich kann die Zukunft berechnen.“ Er stellt sich in die Linie Daniels: Gott enthüllt, wohin Geschichte unter seiner Herrschaft geht.</w:t>
      </w:r>
    </w:p>
    <w:p>
      <w:pPr>
        <w:pStyle w:val="Heading2"/>
      </w:pPr>
      <w:r>
        <w:t>8.2 „Was geschehen muss“</w:t>
      </w:r>
    </w:p>
    <w:p>
      <w:r>
        <w:t>Bergers traditionsgeschichtlicher Gang von griechischer Tragödie und Mantik über hellenistische Religiosität bis zur Apokalyptik ist gelehrt und interessant. Die Gegenprüfung führt jedoch zu einer Gewichtungsänderung: Die unmittelbare literarische Verbindung zu Daniel 2 ist für die Exegese von Offb 1,1 wesentlich belastbarer als eine weit zurückreichende Ableitung aus griechischer Schicksalsvorstellung.</w:t>
      </w:r>
    </w:p>
    <w:p>
      <w:r>
        <w:t>Außerdem sollte δεῖ nicht mit blindem Schicksal gleichgesetzt werden. Im Offenbarungskontext bedeutet es: Geschichte entgleitet Gott nicht. Nicht: Alles Geschehen ist fatalistisch festgelegt und menschliches Handeln bedeutungslos.</w:t>
      </w:r>
    </w:p>
    <w:p>
      <w:pPr>
        <w:pStyle w:val="Heading2"/>
      </w:pPr>
      <w:r>
        <w:t>8.3 Prophetische Tradition</w:t>
      </w:r>
    </w:p>
    <w:p>
      <w:r>
        <w:t>Der Berger-Auszug weist mit Recht auf prophetische Buchanfänge wie Jeremia, Ezechiel und Amos hin. Ihr gemeinsames Element ist die Legitimation der Botschaft durch einen Ursprung jenseits des menschlichen Sprechers. Offb 1,1-3 stellt Johannes entsprechend nicht als religiösen Fantasten dar, sondern als Empfänger und Zeugen.</w:t>
      </w:r>
    </w:p>
    <w:p>
      <w:pPr>
        <w:pStyle w:val="Heading1"/>
      </w:pPr>
      <w:r>
        <w:t>9. Exegetische Landkarte und Kommentarmatrix</w:t>
      </w:r>
    </w:p>
    <w:p>
      <w:pPr>
        <w:pStyle w:val="Heading2"/>
      </w:pPr>
      <w:r>
        <w:t>9.1 Breiter Konsens</w:t>
      </w:r>
    </w:p>
    <w:p>
      <w:pPr>
        <w:pStyle w:val="ListBullet"/>
      </w:pPr>
      <w:r>
        <w:t>1,1-3 bildet eine einleitende Einheit.</w:t>
      </w:r>
    </w:p>
    <w:p>
      <w:pPr>
        <w:pStyle w:val="ListBullet"/>
      </w:pPr>
      <w:r>
        <w:t>Die Offenbarung beansprucht göttliche Herkunft.</w:t>
      </w:r>
    </w:p>
    <w:p>
      <w:pPr>
        <w:pStyle w:val="ListBullet"/>
      </w:pPr>
      <w:r>
        <w:t>Jesus Christus besitzt eine zentrale Vermittlungsfunktion.</w:t>
      </w:r>
    </w:p>
    <w:p>
      <w:pPr>
        <w:pStyle w:val="ListBullet"/>
      </w:pPr>
      <w:r>
        <w:t>Daniel 2 steht im Hintergrund von V. 1.</w:t>
      </w:r>
    </w:p>
    <w:p>
      <w:pPr>
        <w:pStyle w:val="ListBullet"/>
      </w:pPr>
      <w:r>
        <w:t>V. 3 setzt eine gemeinschaftliche Vorlesesituation voraus.</w:t>
      </w:r>
    </w:p>
    <w:p>
      <w:pPr>
        <w:pStyle w:val="ListBullet"/>
      </w:pPr>
      <w:r>
        <w:t>Lesen und Hören allein reichen nicht; τηρεῖν zielt auf Aneignung.</w:t>
      </w:r>
    </w:p>
    <w:p>
      <w:pPr>
        <w:pStyle w:val="ListBullet"/>
      </w:pPr>
      <w:r>
        <w:t>„in Kürze“ und „nahe“ gehören bewusst zur rhetorischen Dringlichkeit des Textes.</w:t>
      </w:r>
    </w:p>
    <w:p>
      <w:pPr>
        <w:pStyle w:val="Heading2"/>
      </w:pPr>
      <w:r>
        <w:t>9.2 Strittige Scharnierfragen</w:t>
      </w:r>
    </w:p>
    <w:p>
      <w:pPr>
        <w:pStyle w:val="Heading3"/>
      </w:pPr>
      <w:r>
        <w:t>A. „Offenbarung Jesu Christi“</w:t>
      </w:r>
    </w:p>
    <w:p>
      <w:pPr>
        <w:pStyle w:val="ListBullet"/>
      </w:pPr>
      <w:r>
        <w:t>Position 1: Offenbarung von Jesus Christus. Stark gestützt durch „die Gott ihm gegeben hat“.</w:t>
      </w:r>
    </w:p>
    <w:p>
      <w:pPr>
        <w:pStyle w:val="ListBullet"/>
      </w:pPr>
      <w:r>
        <w:t>Position 2: Offenbarung über Jesus Christus.</w:t>
      </w:r>
    </w:p>
    <w:p>
      <w:pPr>
        <w:pStyle w:val="ListBullet"/>
      </w:pPr>
      <w:r>
        <w:t>Position 3: bewusst doppeldeutig.</w:t>
      </w:r>
    </w:p>
    <w:p>
      <w:pPr>
        <w:pStyle w:val="IntenseQuote"/>
      </w:pPr>
      <w:r>
        <w:t>Entscheidung: Für V. 1 ist Position 1 grammatisch und kontextuell am stärksten. Das Buch als Ganzes macht Jesus aber zugleich zum Gegenstand der Offenbarung.</w:t>
      </w:r>
    </w:p>
    <w:p>
      <w:pPr>
        <w:pStyle w:val="Heading3"/>
      </w:pPr>
      <w:r>
        <w:t>B. Was bedeutet „bald“?</w:t>
      </w:r>
    </w:p>
    <w:p>
      <w:r>
        <w:t>Berger: reale Naherwartung; die Nähe betrifft Messias und seine Gefolgschaft. Boring: Die Naherwartung gehört unaufgebbar zur Aussage des Textes und darf nicht wegexegetisiert werden. Eine stärker inaugurierte Lesart versteht den Daniel-Horizont durch Christus aktualisiert: Das endzeitliche Geschehen hat bereits begonnen und bewegt sich auf seine Vollendung zu.</w:t>
      </w:r>
    </w:p>
    <w:p>
      <w:pPr>
        <w:pStyle w:val="IntenseQuote"/>
      </w:pPr>
      <w:r>
        <w:t>Entscheidung: Der Text behauptet echte Nähe und Dringlichkeit. Ob Johannes damit die vollständige Vollendung innerhalb weniger Jahre erwartete, lässt sich aus diesen drei Versen nicht sicher entscheiden. UMSTRITTEN - offen lassen.</w:t>
      </w:r>
    </w:p>
    <w:p>
      <w:pPr>
        <w:pStyle w:val="Heading3"/>
      </w:pPr>
      <w:r>
        <w:t>C. Ist ἀποκάλυψις schon eine Gattungsangabe?</w:t>
      </w:r>
    </w:p>
    <w:p>
      <w:r>
        <w:t>Berger behandelt den Titel stark im Horizont antiker Offenbarungsliteratur. WiBiLex spricht sachgerecht von apokalyptischer Tradition und zugleich von der Eigenart der Johannesoffenbarung. Van Niekerk / Van Eck warnen davor, das erste Wort automatisch als bereits feststehenden technischen Gattungsbegriff zu behandeln.</w:t>
      </w:r>
    </w:p>
    <w:p>
      <w:pPr>
        <w:pStyle w:val="IntenseQuote"/>
      </w:pPr>
      <w:r>
        <w:t>Entscheidung für die Gruppe: „Offenbarung“ ist zuerst das Geschehen des Enthüllens. Daraus entwickelte sich später unsere Bezeichnung „Apokalypse“ für eine Gattung.</w:t>
      </w:r>
    </w:p>
    <w:p>
      <w:pPr>
        <w:pStyle w:val="Heading3"/>
      </w:pPr>
      <w:r>
        <w:t>D. Ist eine Domitian-Verfolgung vorauszusetzen?</w:t>
      </w:r>
    </w:p>
    <w:p>
      <w:r>
        <w:t>Ältere Rekonstruktion/Berger: relativ starker Verfolgungshorizont. Neuere sozialgeschichtliche Forschung: kein sicherer Nachweis einer systematischen reichsweiten Christenverfolgung unter Domitian; sehr wohl lokale und gesellschaftliche Drucksituationen.</w:t>
      </w:r>
    </w:p>
    <w:p>
      <w:pPr>
        <w:pStyle w:val="IntenseQuote"/>
      </w:pPr>
      <w:r>
        <w:t>Entscheidung: Die zweite Position ist methodisch vorsichtiger und sollte Grundlage der Bibelarbeit sein.</w:t>
      </w:r>
    </w:p>
    <w:p>
      <w:pPr>
        <w:pStyle w:val="Heading2"/>
      </w:pPr>
      <w:r>
        <w:t>9.3 Kommentarmatrix</w:t>
      </w:r>
    </w:p>
    <w:tbl>
      <w:tblPr>
        <w:tblStyle w:val="TableGrid"/>
        <w:tblW w:type="auto" w:w="0"/>
        <w:jc w:val="center"/>
        <w:tblLook w:firstColumn="1" w:firstRow="1" w:lastColumn="0" w:lastRow="0" w:noHBand="0" w:noVBand="1" w:val="04A0"/>
      </w:tblPr>
      <w:tblGrid>
        <w:gridCol w:w="2464"/>
        <w:gridCol w:w="2464"/>
        <w:gridCol w:w="2464"/>
        <w:gridCol w:w="2464"/>
      </w:tblGrid>
      <w:tr>
        <w:trPr>
          <w:tblHeader w:val="true"/>
        </w:trPr>
        <w:tc>
          <w:tcPr>
            <w:tcW w:type="dxa" w:w="1871"/>
            <w:shd w:fill="D9E2F3"/>
            <w:vAlign w:val="center"/>
          </w:tcPr>
          <w:p>
            <w:r>
              <w:rPr>
                <w:b/>
                <w:sz w:val="16"/>
              </w:rPr>
              <w:t>Frage</w:t>
            </w:r>
          </w:p>
        </w:tc>
        <w:tc>
          <w:tcPr>
            <w:tcW w:type="dxa" w:w="2835"/>
            <w:shd w:fill="D9E2F3"/>
            <w:vAlign w:val="center"/>
          </w:tcPr>
          <w:p>
            <w:r>
              <w:rPr>
                <w:b/>
                <w:sz w:val="16"/>
              </w:rPr>
              <w:t>Berger, bereitgestellter Auszug</w:t>
            </w:r>
          </w:p>
        </w:tc>
        <w:tc>
          <w:tcPr>
            <w:tcW w:type="dxa" w:w="2835"/>
            <w:shd w:fill="D9E2F3"/>
            <w:vAlign w:val="center"/>
          </w:tcPr>
          <w:p>
            <w:r>
              <w:rPr>
                <w:b/>
                <w:sz w:val="16"/>
              </w:rPr>
              <w:t>Externe Forschung</w:t>
            </w:r>
          </w:p>
        </w:tc>
        <w:tc>
          <w:tcPr>
            <w:tcW w:type="dxa" w:w="1984"/>
            <w:shd w:fill="D9E2F3"/>
            <w:vAlign w:val="center"/>
          </w:tcPr>
          <w:p>
            <w:r>
              <w:rPr>
                <w:b/>
                <w:sz w:val="16"/>
              </w:rPr>
              <w:t>Ergebnis</w:t>
            </w:r>
          </w:p>
        </w:tc>
      </w:tr>
      <w:tr>
        <w:tc>
          <w:tcPr>
            <w:tcW w:type="dxa" w:w="1871"/>
            <w:vAlign w:val="top"/>
          </w:tcPr>
          <w:p>
            <w:r>
              <w:rPr>
                <w:sz w:val="16"/>
              </w:rPr>
              <w:t>Herkunft der Offenbarung</w:t>
            </w:r>
          </w:p>
        </w:tc>
        <w:tc>
          <w:tcPr>
            <w:tcW w:type="dxa" w:w="2835"/>
            <w:vAlign w:val="top"/>
          </w:tcPr>
          <w:p>
            <w:r>
              <w:rPr>
                <w:sz w:val="16"/>
              </w:rPr>
              <w:t>himmlische Herkunft legitimiert Schrift</w:t>
            </w:r>
          </w:p>
        </w:tc>
        <w:tc>
          <w:tcPr>
            <w:tcW w:type="dxa" w:w="2835"/>
            <w:vAlign w:val="top"/>
          </w:tcPr>
          <w:p>
            <w:r>
              <w:rPr>
                <w:sz w:val="16"/>
              </w:rPr>
              <w:t>bestätigt</w:t>
            </w:r>
          </w:p>
        </w:tc>
        <w:tc>
          <w:tcPr>
            <w:tcW w:type="dxa" w:w="1984"/>
            <w:vAlign w:val="top"/>
          </w:tcPr>
          <w:p>
            <w:r>
              <w:rPr>
                <w:sz w:val="16"/>
              </w:rPr>
              <w:t>gut belegt</w:t>
            </w:r>
          </w:p>
        </w:tc>
      </w:tr>
      <w:tr>
        <w:tc>
          <w:tcPr>
            <w:tcW w:type="dxa" w:w="1871"/>
            <w:vAlign w:val="top"/>
          </w:tcPr>
          <w:p>
            <w:r>
              <w:rPr>
                <w:sz w:val="16"/>
              </w:rPr>
              <w:t>Jesus Christus</w:t>
            </w:r>
          </w:p>
        </w:tc>
        <w:tc>
          <w:tcPr>
            <w:tcW w:type="dxa" w:w="2835"/>
            <w:vAlign w:val="top"/>
          </w:tcPr>
          <w:p>
            <w:r>
              <w:rPr>
                <w:sz w:val="16"/>
              </w:rPr>
              <w:t>zentraler Vermittler</w:t>
            </w:r>
          </w:p>
        </w:tc>
        <w:tc>
          <w:tcPr>
            <w:tcW w:type="dxa" w:w="2835"/>
            <w:vAlign w:val="top"/>
          </w:tcPr>
          <w:p>
            <w:r>
              <w:rPr>
                <w:sz w:val="16"/>
              </w:rPr>
              <w:t>bestätigt</w:t>
            </w:r>
          </w:p>
        </w:tc>
        <w:tc>
          <w:tcPr>
            <w:tcW w:type="dxa" w:w="1984"/>
            <w:vAlign w:val="top"/>
          </w:tcPr>
          <w:p>
            <w:r>
              <w:rPr>
                <w:sz w:val="16"/>
              </w:rPr>
              <w:t>gut belegt</w:t>
            </w:r>
          </w:p>
        </w:tc>
      </w:tr>
      <w:tr>
        <w:tc>
          <w:tcPr>
            <w:tcW w:type="dxa" w:w="1871"/>
            <w:vAlign w:val="top"/>
          </w:tcPr>
          <w:p>
            <w:r>
              <w:rPr>
                <w:sz w:val="16"/>
              </w:rPr>
              <w:t>Daniel 2</w:t>
            </w:r>
          </w:p>
        </w:tc>
        <w:tc>
          <w:tcPr>
            <w:tcW w:type="dxa" w:w="2835"/>
            <w:vAlign w:val="top"/>
          </w:tcPr>
          <w:p>
            <w:r>
              <w:rPr>
                <w:sz w:val="16"/>
              </w:rPr>
              <w:t>starker Bezug</w:t>
            </w:r>
          </w:p>
        </w:tc>
        <w:tc>
          <w:tcPr>
            <w:tcW w:type="dxa" w:w="2835"/>
            <w:vAlign w:val="top"/>
          </w:tcPr>
          <w:p>
            <w:r>
              <w:rPr>
                <w:sz w:val="16"/>
              </w:rPr>
              <w:t>bestätigt</w:t>
            </w:r>
          </w:p>
        </w:tc>
        <w:tc>
          <w:tcPr>
            <w:tcW w:type="dxa" w:w="1984"/>
            <w:vAlign w:val="top"/>
          </w:tcPr>
          <w:p>
            <w:r>
              <w:rPr>
                <w:sz w:val="16"/>
              </w:rPr>
              <w:t>sehr gut belegt</w:t>
            </w:r>
          </w:p>
        </w:tc>
      </w:tr>
      <w:tr>
        <w:tc>
          <w:tcPr>
            <w:tcW w:type="dxa" w:w="1871"/>
            <w:vAlign w:val="top"/>
          </w:tcPr>
          <w:p>
            <w:r>
              <w:rPr>
                <w:sz w:val="16"/>
              </w:rPr>
              <w:t>„muss geschehen“</w:t>
            </w:r>
          </w:p>
        </w:tc>
        <w:tc>
          <w:tcPr>
            <w:tcW w:type="dxa" w:w="2835"/>
            <w:vAlign w:val="top"/>
          </w:tcPr>
          <w:p>
            <w:r>
              <w:rPr>
                <w:sz w:val="16"/>
              </w:rPr>
              <w:t>weitreichende Tradition bis griech. Mantik</w:t>
            </w:r>
          </w:p>
        </w:tc>
        <w:tc>
          <w:tcPr>
            <w:tcW w:type="dxa" w:w="2835"/>
            <w:vAlign w:val="top"/>
          </w:tcPr>
          <w:p>
            <w:r>
              <w:rPr>
                <w:sz w:val="16"/>
              </w:rPr>
              <w:t>direkte Daniel-Verbindung stärker</w:t>
            </w:r>
          </w:p>
        </w:tc>
        <w:tc>
          <w:tcPr>
            <w:tcW w:type="dxa" w:w="1984"/>
            <w:vAlign w:val="top"/>
          </w:tcPr>
          <w:p>
            <w:r>
              <w:rPr>
                <w:sz w:val="16"/>
              </w:rPr>
              <w:t>Berger relativieren</w:t>
            </w:r>
          </w:p>
        </w:tc>
      </w:tr>
      <w:tr>
        <w:tc>
          <w:tcPr>
            <w:tcW w:type="dxa" w:w="1871"/>
            <w:vAlign w:val="top"/>
          </w:tcPr>
          <w:p>
            <w:r>
              <w:rPr>
                <w:sz w:val="16"/>
              </w:rPr>
              <w:t>Naherwartung</w:t>
            </w:r>
          </w:p>
        </w:tc>
        <w:tc>
          <w:tcPr>
            <w:tcW w:type="dxa" w:w="2835"/>
            <w:vAlign w:val="top"/>
          </w:tcPr>
          <w:p>
            <w:r>
              <w:rPr>
                <w:sz w:val="16"/>
              </w:rPr>
              <w:t>echte zeitliche Nähe</w:t>
            </w:r>
          </w:p>
        </w:tc>
        <w:tc>
          <w:tcPr>
            <w:tcW w:type="dxa" w:w="2835"/>
            <w:vAlign w:val="top"/>
          </w:tcPr>
          <w:p>
            <w:r>
              <w:rPr>
                <w:sz w:val="16"/>
              </w:rPr>
              <w:t>echte Dringlichkeit bestätigt, genaue Erfüllung umstritten</w:t>
            </w:r>
          </w:p>
        </w:tc>
        <w:tc>
          <w:tcPr>
            <w:tcW w:type="dxa" w:w="1984"/>
            <w:vAlign w:val="top"/>
          </w:tcPr>
          <w:p>
            <w:r>
              <w:rPr>
                <w:sz w:val="16"/>
              </w:rPr>
              <w:t>Spannung offenlassen</w:t>
            </w:r>
          </w:p>
        </w:tc>
      </w:tr>
      <w:tr>
        <w:tc>
          <w:tcPr>
            <w:tcW w:type="dxa" w:w="1871"/>
            <w:vAlign w:val="top"/>
          </w:tcPr>
          <w:p>
            <w:r>
              <w:rPr>
                <w:sz w:val="16"/>
              </w:rPr>
              <w:t>Domitian</w:t>
            </w:r>
          </w:p>
        </w:tc>
        <w:tc>
          <w:tcPr>
            <w:tcW w:type="dxa" w:w="2835"/>
            <w:vAlign w:val="top"/>
          </w:tcPr>
          <w:p>
            <w:r>
              <w:rPr>
                <w:sz w:val="16"/>
              </w:rPr>
              <w:t>starke Gefährdung/Verfolgung</w:t>
            </w:r>
          </w:p>
        </w:tc>
        <w:tc>
          <w:tcPr>
            <w:tcW w:type="dxa" w:w="2835"/>
            <w:vAlign w:val="top"/>
          </w:tcPr>
          <w:p>
            <w:r>
              <w:rPr>
                <w:sz w:val="16"/>
              </w:rPr>
              <w:t>reichsweite Verfolgung fraglich</w:t>
            </w:r>
          </w:p>
        </w:tc>
        <w:tc>
          <w:tcPr>
            <w:tcW w:type="dxa" w:w="1984"/>
            <w:vAlign w:val="top"/>
          </w:tcPr>
          <w:p>
            <w:r>
              <w:rPr>
                <w:sz w:val="16"/>
              </w:rPr>
              <w:t>korrigieren</w:t>
            </w:r>
          </w:p>
        </w:tc>
      </w:tr>
      <w:tr>
        <w:tc>
          <w:tcPr>
            <w:tcW w:type="dxa" w:w="1871"/>
            <w:vAlign w:val="top"/>
          </w:tcPr>
          <w:p>
            <w:r>
              <w:rPr>
                <w:sz w:val="16"/>
              </w:rPr>
              <w:t>ἀποκάλυψις</w:t>
            </w:r>
          </w:p>
        </w:tc>
        <w:tc>
          <w:tcPr>
            <w:tcW w:type="dxa" w:w="2835"/>
            <w:vAlign w:val="top"/>
          </w:tcPr>
          <w:p>
            <w:r>
              <w:rPr>
                <w:sz w:val="16"/>
              </w:rPr>
              <w:t>Nähe zu Offenbarungsgattung</w:t>
            </w:r>
          </w:p>
        </w:tc>
        <w:tc>
          <w:tcPr>
            <w:tcW w:type="dxa" w:w="2835"/>
            <w:vAlign w:val="top"/>
          </w:tcPr>
          <w:p>
            <w:r>
              <w:rPr>
                <w:sz w:val="16"/>
              </w:rPr>
              <w:t>technische Gattungsbezeichnung nicht vorschnell ansetzen</w:t>
            </w:r>
          </w:p>
        </w:tc>
        <w:tc>
          <w:tcPr>
            <w:tcW w:type="dxa" w:w="1984"/>
            <w:vAlign w:val="top"/>
          </w:tcPr>
          <w:p>
            <w:r>
              <w:rPr>
                <w:sz w:val="16"/>
              </w:rPr>
              <w:t>präzisieren</w:t>
            </w:r>
          </w:p>
        </w:tc>
      </w:tr>
      <w:tr>
        <w:tc>
          <w:tcPr>
            <w:tcW w:type="dxa" w:w="1871"/>
            <w:vAlign w:val="top"/>
          </w:tcPr>
          <w:p>
            <w:r>
              <w:rPr>
                <w:sz w:val="16"/>
              </w:rPr>
              <w:t>V. 3</w:t>
            </w:r>
          </w:p>
        </w:tc>
        <w:tc>
          <w:tcPr>
            <w:tcW w:type="dxa" w:w="2835"/>
            <w:vAlign w:val="top"/>
          </w:tcPr>
          <w:p>
            <w:r>
              <w:rPr>
                <w:sz w:val="16"/>
              </w:rPr>
              <w:t>Hören/Bewahren zentral</w:t>
            </w:r>
          </w:p>
        </w:tc>
        <w:tc>
          <w:tcPr>
            <w:tcW w:type="dxa" w:w="2835"/>
            <w:vAlign w:val="top"/>
          </w:tcPr>
          <w:p>
            <w:r>
              <w:rPr>
                <w:sz w:val="16"/>
              </w:rPr>
              <w:t>bestätigt</w:t>
            </w:r>
          </w:p>
        </w:tc>
        <w:tc>
          <w:tcPr>
            <w:tcW w:type="dxa" w:w="1984"/>
            <w:vAlign w:val="top"/>
          </w:tcPr>
          <w:p>
            <w:r>
              <w:rPr>
                <w:sz w:val="16"/>
              </w:rPr>
              <w:t>sehr gut belegt</w:t>
            </w:r>
          </w:p>
        </w:tc>
      </w:tr>
    </w:tbl>
    <w:p>
      <w:pPr>
        <w:pStyle w:val="Heading1"/>
      </w:pPr>
      <w:r>
        <w:t>10. Gegenprompts, Falsifikation und Korrekturen</w:t>
      </w:r>
    </w:p>
    <w:p>
      <w:pPr>
        <w:pStyle w:val="Heading2"/>
      </w:pPr>
      <w:r>
        <w:t>Gegenprompt 1</w:t>
      </w:r>
    </w:p>
    <w:p>
      <w:r>
        <w:rPr>
          <w:b/>
        </w:rPr>
        <w:t>Was spricht gegen die These, Jesus sei in V. 1 ausschließlich Gegenstand der Offenbarung?</w:t>
      </w:r>
    </w:p>
    <w:p>
      <w:r>
        <w:t>Der Satz selbst: Gott gibt ihm die Offenbarung, damit er sie weiterzeigt.</w:t>
      </w:r>
    </w:p>
    <w:p>
      <w:pPr>
        <w:pStyle w:val="IntenseQuote"/>
      </w:pPr>
      <w:r>
        <w:t>Korrektur: Jesus ist in V. 1 primär Vermittler/Quelle; im Buchganzen zugleich Offenbarter.</w:t>
      </w:r>
    </w:p>
    <w:p>
      <w:pPr>
        <w:pStyle w:val="Heading2"/>
      </w:pPr>
      <w:r>
        <w:t>Gegenprompt 2</w:t>
      </w:r>
    </w:p>
    <w:p>
      <w:r>
        <w:rPr>
          <w:b/>
        </w:rPr>
        <w:t>Könnte „bald“ einfach „wenn es einmal beginnt, dann schnell“ heißen?</w:t>
      </w:r>
    </w:p>
    <w:p>
      <w:r>
        <w:t>Dagegen steht die Verbindung von ἐν τάχει in V. 1 mit ὁ καιρὸς ἐγγύς in V. 3. Das zweite sagt ausdrücklich: Der Zeitpunkt ist nahe.</w:t>
      </w:r>
    </w:p>
    <w:p>
      <w:pPr>
        <w:pStyle w:val="IntenseQuote"/>
      </w:pPr>
      <w:r>
        <w:t>Korrektur: zeitliche Nähe nicht spiritualisieren oder wegübersetzen.</w:t>
      </w:r>
    </w:p>
    <w:p>
      <w:pPr>
        <w:pStyle w:val="Heading2"/>
      </w:pPr>
      <w:r>
        <w:t>Gegenprompt 3</w:t>
      </w:r>
    </w:p>
    <w:p>
      <w:r>
        <w:rPr>
          <w:b/>
        </w:rPr>
        <w:t>Ist die Offenbarung ein verschlüsselter Zukunftskalender?</w:t>
      </w:r>
    </w:p>
    <w:p>
      <w:r>
        <w:t>V. 3 nennt als Reaktion: lesen - hören - bewahren. Nicht: berechnen - entschlüsseln - terminieren.</w:t>
      </w:r>
    </w:p>
    <w:p>
      <w:pPr>
        <w:pStyle w:val="IntenseQuote"/>
      </w:pPr>
      <w:r>
        <w:t>Korrektur: Symboldeutung bleibt nötig, aber der Text ist auf Glauben und Lebenspraxis ausgerichtet.</w:t>
      </w:r>
    </w:p>
    <w:p>
      <w:pPr>
        <w:pStyle w:val="Heading2"/>
      </w:pPr>
      <w:r>
        <w:t>Gegenprompt 4</w:t>
      </w:r>
    </w:p>
    <w:p>
      <w:r>
        <w:rPr>
          <w:b/>
        </w:rPr>
        <w:t>Braucht die Auslegung eine systematische Domitian-Verfolgung?</w:t>
      </w:r>
    </w:p>
    <w:p>
      <w:r>
        <w:t>Nein. Die sozialgeschichtliche These ist historisch zu unsicher und für 1,1-3 nicht erforderlich.</w:t>
      </w:r>
    </w:p>
    <w:p>
      <w:pPr>
        <w:pStyle w:val="IntenseQuote"/>
      </w:pPr>
      <w:r>
        <w:t>Korrektur: lokale und gesellschaftliche Drucksituationen genügen als historischer Rahmen.</w:t>
      </w:r>
    </w:p>
    <w:p>
      <w:pPr>
        <w:pStyle w:val="Heading2"/>
      </w:pPr>
      <w:r>
        <w:t>Gegenprompt 5</w:t>
      </w:r>
    </w:p>
    <w:p>
      <w:r>
        <w:rPr>
          <w:b/>
        </w:rPr>
        <w:t>Ist Bergers Herleitung des „Muss“ aus griechischer Mantik nötig?</w:t>
      </w:r>
    </w:p>
    <w:p>
      <w:r>
        <w:t>Nein. Der direkte Danielbezug erklärt die Wendung bereits sehr gut.</w:t>
      </w:r>
    </w:p>
    <w:p>
      <w:pPr>
        <w:pStyle w:val="IntenseQuote"/>
      </w:pPr>
      <w:r>
        <w:t>LOOP-Korrektur: Bergers breitere Traditionsgeschichte wird als interessante, aber nicht notwendige und deutlich unsicherere Hypothese zurückgestuft.</w:t>
      </w:r>
    </w:p>
    <w:p>
      <w:pPr>
        <w:pStyle w:val="Heading2"/>
      </w:pPr>
      <w:r>
        <w:t>Negativprobe: Was steht NICHT in Offb 1,1-3?</w:t>
      </w:r>
    </w:p>
    <w:p>
      <w:pPr>
        <w:pStyle w:val="ListBullet"/>
      </w:pPr>
      <w:r>
        <w:t>Antichrist</w:t>
      </w:r>
    </w:p>
    <w:p>
      <w:pPr>
        <w:pStyle w:val="ListBullet"/>
      </w:pPr>
      <w:r>
        <w:t>666</w:t>
      </w:r>
    </w:p>
    <w:p>
      <w:pPr>
        <w:pStyle w:val="ListBullet"/>
      </w:pPr>
      <w:r>
        <w:t>Drache</w:t>
      </w:r>
    </w:p>
    <w:p>
      <w:pPr>
        <w:pStyle w:val="ListBullet"/>
      </w:pPr>
      <w:r>
        <w:t>Tier</w:t>
      </w:r>
    </w:p>
    <w:p>
      <w:pPr>
        <w:pStyle w:val="ListBullet"/>
      </w:pPr>
      <w:r>
        <w:t>Entrückung</w:t>
      </w:r>
    </w:p>
    <w:p>
      <w:pPr>
        <w:pStyle w:val="ListBullet"/>
      </w:pPr>
      <w:r>
        <w:t>Tausendjähriges Reich</w:t>
      </w:r>
    </w:p>
    <w:p>
      <w:pPr>
        <w:pStyle w:val="ListBullet"/>
      </w:pPr>
      <w:r>
        <w:t>genauer Endzeitfahrplan</w:t>
      </w:r>
    </w:p>
    <w:p>
      <w:pPr>
        <w:pStyle w:val="ListBullet"/>
      </w:pPr>
      <w:r>
        <w:t>Berechnung eines Weltendes</w:t>
      </w:r>
    </w:p>
    <w:p>
      <w:pPr>
        <w:pStyle w:val="IntenseQuote"/>
      </w:pPr>
      <w:r>
        <w:t>Das ist für den Auftakt der Bibelwoche didaktisch außerordentlich wichtig: Johannes selbst beginnt ganz woanders.</w:t>
      </w:r>
    </w:p>
    <w:p>
      <w:pPr>
        <w:pStyle w:val="Heading1"/>
      </w:pPr>
      <w:r>
        <w:t>11. Theologische Synthese</w:t>
      </w:r>
    </w:p>
    <w:p>
      <w:pPr>
        <w:pStyle w:val="Heading2"/>
      </w:pPr>
      <w:r>
        <w:t>11.1 Gott</w:t>
      </w:r>
    </w:p>
    <w:p>
      <w:r>
        <w:t>Gott ist der Ursprung der Offenbarung. Zukunft ist im Text nicht etwas, das unabhängig von Gott wie ein Schicksalsmechanismus abläuft.</w:t>
      </w:r>
    </w:p>
    <w:p>
      <w:pPr>
        <w:pStyle w:val="Heading2"/>
      </w:pPr>
      <w:r>
        <w:t>11.2 Jesus Christus</w:t>
      </w:r>
    </w:p>
    <w:p>
      <w:r>
        <w:t>Jesus steht bereits im ersten Satz zwischen Gott und Gemeinde. Er ist nicht dekoratives Thema des Buches, sondern derjenige, durch den Gottes Perspektive auf die Geschichte zur Gemeinde kommt.</w:t>
      </w:r>
    </w:p>
    <w:p>
      <w:pPr>
        <w:pStyle w:val="IntenseQuote"/>
      </w:pPr>
      <w:r>
        <w:t>Christologische Kontrollfrage für die ganze Bibelwoche: Wie verändert sich unsere Wahrnehmung des jeweiligen Bildes, wenn wir es von Jesus Christus her lesen?</w:t>
      </w:r>
    </w:p>
    <w:p>
      <w:pPr>
        <w:pStyle w:val="Heading2"/>
      </w:pPr>
      <w:r>
        <w:t>11.3 Johannes</w:t>
      </w:r>
    </w:p>
    <w:p>
      <w:r>
        <w:t>Johannes besitzt Autorität nicht aufgrund geheimen Spezialwissens. Er ist Zeuge dessen, was ihm gezeigt wurde. Damit bleibt eine Distanz zwischen Gott - Offenbarung - Zeuge. Johannes produziert die Wirklichkeit nicht selbst.</w:t>
      </w:r>
    </w:p>
    <w:p>
      <w:pPr>
        <w:pStyle w:val="Heading2"/>
      </w:pPr>
      <w:r>
        <w:t>11.4 Gemeinde</w:t>
      </w:r>
    </w:p>
    <w:p>
      <w:r>
        <w:t>Die Gemeinde ist keine Zuschauertribüne für kommende Katastrophen. Sie wird zum Hören und Bewahren gerufen. Damit besitzt die Offenbarung von Beginn an eine ethische und geistliche Dimension.</w:t>
      </w:r>
    </w:p>
    <w:p>
      <w:pPr>
        <w:pStyle w:val="Heading2"/>
      </w:pPr>
      <w:r>
        <w:t>11.5 Verheißung</w:t>
      </w:r>
    </w:p>
    <w:p>
      <w:r>
        <w:t>Erstaunlicherweise begegnet bereits in V. 3 das Wort μακάριος - selig / glückselig. Das erste ausdrücklich über die Leser und Hörer ausgesprochene Wort des Buches ist damit keine Drohung, sondern eine Seligpreisung. Das verändert den Zugang zum ganzen Buch.</w:t>
      </w:r>
    </w:p>
    <w:p>
      <w:pPr>
        <w:pStyle w:val="Heading1"/>
      </w:pPr>
      <w:r>
        <w:t>12. Hermeneutisch-didaktische Brücke</w:t>
      </w:r>
    </w:p>
    <w:p>
      <w:r>
        <w:t>WiReLex weist darauf hin, dass apokalyptische Weltuntergangsszenarien heute schnell Angst erzeugen und mit Erfahrungen von Ohnmacht verbunden werden. Gerade deshalb sollte der erste Abend nicht mit einem Vortrag über apokalyptische Symbolsysteme beginnen.</w:t>
      </w:r>
    </w:p>
    <w:p>
      <w:pPr>
        <w:pStyle w:val="Heading2"/>
      </w:pPr>
      <w:r>
        <w:t>Damals</w:t>
      </w:r>
    </w:p>
    <w:p>
      <w:r>
        <w:t>Gemeinden hören eine prophetische Botschaft in einer Welt, deren politische und gesellschaftliche Wirklichkeit sie nur begrenzt kontrollieren können.</w:t>
      </w:r>
    </w:p>
    <w:p>
      <w:pPr>
        <w:pStyle w:val="Heading2"/>
      </w:pPr>
      <w:r>
        <w:t>Bleibende Wirklichkeit</w:t>
      </w:r>
    </w:p>
    <w:p>
      <w:pPr>
        <w:pStyle w:val="ListBullet"/>
      </w:pPr>
      <w:r>
        <w:t>Geschichte als unübersichtlich</w:t>
      </w:r>
    </w:p>
    <w:p>
      <w:pPr>
        <w:pStyle w:val="ListBullet"/>
      </w:pPr>
      <w:r>
        <w:t>Mächte als übermächtig</w:t>
      </w:r>
    </w:p>
    <w:p>
      <w:pPr>
        <w:pStyle w:val="ListBullet"/>
      </w:pPr>
      <w:r>
        <w:t>Zukunft als unsicher</w:t>
      </w:r>
    </w:p>
    <w:p>
      <w:pPr>
        <w:pStyle w:val="ListBullet"/>
      </w:pPr>
      <w:r>
        <w:t>Gott manchmal als verborgen</w:t>
      </w:r>
    </w:p>
    <w:p>
      <w:pPr>
        <w:pStyle w:val="Heading2"/>
      </w:pPr>
      <w:r>
        <w:t>Heute</w:t>
      </w:r>
    </w:p>
    <w:p>
      <w:r>
        <w:t>Unsere moderne Versuchung ähnelt der antiken in einem Punkt: Wir möchten wissen, was wirklich vor sich geht. Dann entstehen schnell Untergangsszenarien, Verschwörungserzählungen, Zukunftsberechnungen und politische Heils- und Unheilserzählungen.</w:t>
      </w:r>
    </w:p>
    <w:p>
      <w:r>
        <w:t>Die Offenbarung beantwortet diese Sehnsucht aber nicht mit Geheimwissen für eine Elite. Sie beginnt: Gott -&gt; Christus -&gt; Gemeinde.</w:t>
      </w:r>
    </w:p>
    <w:p>
      <w:pPr>
        <w:pStyle w:val="Heading2"/>
      </w:pPr>
      <w:r>
        <w:t>Für den Bibelkreis</w:t>
      </w:r>
    </w:p>
    <w:p>
      <w:r>
        <w:t>Der Zugang sollte deshalb weder lauten: „Heute erkläre ich euch endlich die Offenbarung.“ noch: „Alles ist ohnehin nur Symbol.“</w:t>
      </w:r>
    </w:p>
    <w:p>
      <w:pPr>
        <w:pStyle w:val="IntenseQuote"/>
      </w:pPr>
      <w:r>
        <w:t>Sondern: Welche Wirklichkeit möchte uns dieser Text sehen lassen, die wir ohne Gottes Perspektive übersehen?</w:t>
      </w:r>
    </w:p>
    <w:p>
      <w:pPr>
        <w:pStyle w:val="Heading1"/>
      </w:pPr>
      <w:r>
        <w:t>13. Bibelarbeitskern und Gesprächsziele</w:t>
      </w:r>
    </w:p>
    <w:p>
      <w:pPr>
        <w:pStyle w:val="IntenseQuote"/>
      </w:pPr>
      <w:r>
        <w:t>Kern: Die Offenbarung lädt uns ein, unsere Welt von Gott und von Jesus Christus her neu zu sehen - und danach zu leben.</w:t>
      </w:r>
    </w:p>
    <w:p>
      <w:pPr>
        <w:pStyle w:val="Heading2"/>
      </w:pPr>
      <w:r>
        <w:t>Ziel A - VERSTEHEN</w:t>
      </w:r>
    </w:p>
    <w:p>
      <w:r>
        <w:t>Die Gruppe erkennt, dass Offb 1,1-3 einen Leseschlüssel für das ganze Buch bietet: Offenbarung -&gt; Zeugnis -&gt; Hören -&gt; Bewahren.</w:t>
      </w:r>
    </w:p>
    <w:p>
      <w:pPr>
        <w:pStyle w:val="Heading2"/>
      </w:pPr>
      <w:r>
        <w:t>Ziel B - REFLEKTIEREN</w:t>
      </w:r>
    </w:p>
    <w:p>
      <w:r>
        <w:t>Die Teilnehmenden prüfen ihre eigenen Erwartungen: Was erwarte ich eigentlich von der Offenbarung - Information über die Zukunft, Erklärung der Gegenwart, Trost, Warnung, Jesus Christus?</w:t>
      </w:r>
    </w:p>
    <w:p>
      <w:pPr>
        <w:pStyle w:val="Heading2"/>
      </w:pPr>
      <w:r>
        <w:t>Ziel C - ANTWORTEN</w:t>
      </w:r>
    </w:p>
    <w:p>
      <w:r>
        <w:t>Die Teilnehmenden entwickeln für die kommenden Abende eine gemeinsame Leshaltung: Wir wollen genau hinsehen, gemeinsam prüfen und fragen, was der Text über Gott, Christus und unser Leben sagt.</w:t>
      </w:r>
    </w:p>
    <w:p>
      <w:pPr>
        <w:pStyle w:val="Heading1"/>
      </w:pPr>
      <w:r>
        <w:t>14. Drei mögliche Dramaturgien</w:t>
      </w:r>
    </w:p>
    <w:p>
      <w:pPr>
        <w:pStyle w:val="Heading2"/>
      </w:pPr>
      <w:r>
        <w:t>A. TEXTNAH</w:t>
      </w:r>
    </w:p>
    <w:p>
      <w:r>
        <w:t>V. 1 -&gt; V. 2 -&gt; V. 3. Sehr transparent, Gefahr: leicht dozierend.</w:t>
      </w:r>
    </w:p>
    <w:p>
      <w:pPr>
        <w:pStyle w:val="Heading2"/>
      </w:pPr>
      <w:r>
        <w:t>B. FRAGEORIENTIERT</w:t>
      </w:r>
    </w:p>
    <w:p>
      <w:r>
        <w:t>„Was erwarten wir von der Offenbarung?“ -&gt; Text -&gt; „Was erwartet die Offenbarung von uns?“ Sehr zugänglich, Gefahr: die Anfangsfrage kann zu viel Zeit erhalten.</w:t>
      </w:r>
    </w:p>
    <w:p>
      <w:pPr>
        <w:pStyle w:val="Heading2"/>
      </w:pPr>
      <w:r>
        <w:t>C. ENTDECKEND</w:t>
      </w:r>
    </w:p>
    <w:p>
      <w:r>
        <w:t>Wahrnehmen -&gt; untersuchen -&gt; verstehen -&gt; prüfen -&gt; übertragen -&gt; bündeln.</w:t>
      </w:r>
    </w:p>
    <w:p>
      <w:pPr>
        <w:pStyle w:val="IntenseQuote"/>
      </w:pPr>
      <w:r>
        <w:t>Entscheidung des Coaches: C ist für den Bibelkreis am tragfähigsten, aber mit deutlich textnahem Rückgrat. Die Gruppe soll möglichst viel selbst im Text entdecken, bevor exegetische Informationen ergänzt werden.</w:t>
      </w:r>
    </w:p>
    <w:p>
      <w:pPr>
        <w:pStyle w:val="Heading1"/>
      </w:pPr>
      <w:r>
        <w:t>15. Geprüfte 60-Minuten-Bibelarbeitsstruktur</w:t>
      </w:r>
    </w:p>
    <w:tbl>
      <w:tblPr>
        <w:tblStyle w:val="TableGrid"/>
        <w:tblW w:type="auto" w:w="0"/>
        <w:jc w:val="center"/>
        <w:tblLook w:firstColumn="1" w:firstRow="1" w:lastColumn="0" w:lastRow="0" w:noHBand="0" w:noVBand="1" w:val="04A0"/>
      </w:tblPr>
      <w:tblGrid>
        <w:gridCol w:w="3286"/>
        <w:gridCol w:w="3286"/>
        <w:gridCol w:w="3286"/>
      </w:tblGrid>
      <w:tr>
        <w:trPr>
          <w:tblHeader w:val="true"/>
        </w:trPr>
        <w:tc>
          <w:tcPr>
            <w:tcW w:type="dxa" w:w="1474"/>
            <w:shd w:fill="D9E2F3"/>
            <w:vAlign w:val="center"/>
          </w:tcPr>
          <w:p>
            <w:r>
              <w:rPr>
                <w:b/>
                <w:sz w:val="17"/>
              </w:rPr>
              <w:t>Zeit</w:t>
            </w:r>
          </w:p>
        </w:tc>
        <w:tc>
          <w:tcPr>
            <w:tcW w:type="dxa" w:w="2381"/>
            <w:shd w:fill="D9E2F3"/>
            <w:vAlign w:val="center"/>
          </w:tcPr>
          <w:p>
            <w:r>
              <w:rPr>
                <w:b/>
                <w:sz w:val="17"/>
              </w:rPr>
              <w:t>Abschnitt</w:t>
            </w:r>
          </w:p>
        </w:tc>
        <w:tc>
          <w:tcPr>
            <w:tcW w:type="dxa" w:w="5669"/>
            <w:shd w:fill="D9E2F3"/>
            <w:vAlign w:val="center"/>
          </w:tcPr>
          <w:p>
            <w:r>
              <w:rPr>
                <w:b/>
                <w:sz w:val="17"/>
              </w:rPr>
              <w:t>Ablauf und Fragen</w:t>
            </w:r>
          </w:p>
        </w:tc>
      </w:tr>
      <w:tr>
        <w:tc>
          <w:tcPr>
            <w:tcW w:type="dxa" w:w="1474"/>
            <w:vAlign w:val="top"/>
          </w:tcPr>
          <w:p>
            <w:r>
              <w:rPr>
                <w:sz w:val="17"/>
              </w:rPr>
              <w:t>0-6 Min.</w:t>
            </w:r>
          </w:p>
        </w:tc>
        <w:tc>
          <w:tcPr>
            <w:tcW w:type="dxa" w:w="2381"/>
            <w:vAlign w:val="top"/>
          </w:tcPr>
          <w:p>
            <w:r>
              <w:rPr>
                <w:sz w:val="17"/>
              </w:rPr>
              <w:t>Einstieg</w:t>
            </w:r>
          </w:p>
        </w:tc>
        <w:tc>
          <w:tcPr>
            <w:tcW w:type="dxa" w:w="5669"/>
            <w:vAlign w:val="top"/>
          </w:tcPr>
          <w:p>
            <w:r>
              <w:rPr>
                <w:sz w:val="17"/>
              </w:rPr>
              <w:t>Frage: „Wenn ihr ‚Offenbarung‘ hört - was fällt euch zuerst ein?“ Stichworte sammeln, nicht kommentieren.</w:t>
            </w:r>
          </w:p>
        </w:tc>
      </w:tr>
      <w:tr>
        <w:tc>
          <w:tcPr>
            <w:tcW w:type="dxa" w:w="1474"/>
            <w:vAlign w:val="top"/>
          </w:tcPr>
          <w:p>
            <w:r>
              <w:rPr>
                <w:sz w:val="17"/>
              </w:rPr>
              <w:t>6-11 Min.</w:t>
            </w:r>
          </w:p>
        </w:tc>
        <w:tc>
          <w:tcPr>
            <w:tcW w:type="dxa" w:w="2381"/>
            <w:vAlign w:val="top"/>
          </w:tcPr>
          <w:p>
            <w:r>
              <w:rPr>
                <w:sz w:val="17"/>
              </w:rPr>
              <w:t>Text hören</w:t>
            </w:r>
          </w:p>
        </w:tc>
        <w:tc>
          <w:tcPr>
            <w:tcW w:type="dxa" w:w="5669"/>
            <w:vAlign w:val="top"/>
          </w:tcPr>
          <w:p>
            <w:r>
              <w:rPr>
                <w:sz w:val="17"/>
              </w:rPr>
              <w:t>Offb 1,1-3 zunächst Luther 2017, danach BasisBibel lesen. Frage: „Wo habt ihr beim zweiten Hören einen Unterschied bemerkt?“</w:t>
            </w:r>
          </w:p>
        </w:tc>
      </w:tr>
      <w:tr>
        <w:tc>
          <w:tcPr>
            <w:tcW w:type="dxa" w:w="1474"/>
            <w:vAlign w:val="top"/>
          </w:tcPr>
          <w:p>
            <w:r>
              <w:rPr>
                <w:sz w:val="17"/>
              </w:rPr>
              <w:t>11-20 Min.</w:t>
            </w:r>
          </w:p>
        </w:tc>
        <w:tc>
          <w:tcPr>
            <w:tcW w:type="dxa" w:w="2381"/>
            <w:vAlign w:val="top"/>
          </w:tcPr>
          <w:p>
            <w:r>
              <w:rPr>
                <w:sz w:val="17"/>
              </w:rPr>
              <w:t>Entdecken</w:t>
            </w:r>
          </w:p>
        </w:tc>
        <w:tc>
          <w:tcPr>
            <w:tcW w:type="dxa" w:w="5669"/>
            <w:vAlign w:val="top"/>
          </w:tcPr>
          <w:p>
            <w:r>
              <w:rPr>
                <w:sz w:val="17"/>
              </w:rPr>
              <w:t>V. 1-3 nochmals ansehen. Auftrag: „Markiert alle Personen und alle Tätigkeitswörter.“ Gemeinsam Kommunikationskette entwickeln.</w:t>
            </w:r>
          </w:p>
        </w:tc>
      </w:tr>
      <w:tr>
        <w:tc>
          <w:tcPr>
            <w:tcW w:type="dxa" w:w="1474"/>
            <w:vAlign w:val="top"/>
          </w:tcPr>
          <w:p>
            <w:r>
              <w:rPr>
                <w:sz w:val="17"/>
              </w:rPr>
              <w:t>20-31 Min.</w:t>
            </w:r>
          </w:p>
        </w:tc>
        <w:tc>
          <w:tcPr>
            <w:tcW w:type="dxa" w:w="2381"/>
            <w:vAlign w:val="top"/>
          </w:tcPr>
          <w:p>
            <w:r>
              <w:rPr>
                <w:sz w:val="17"/>
              </w:rPr>
              <w:t>V. 1 - Offenbarung &amp; Christus</w:t>
            </w:r>
          </w:p>
        </w:tc>
        <w:tc>
          <w:tcPr>
            <w:tcW w:type="dxa" w:w="5669"/>
            <w:vAlign w:val="top"/>
          </w:tcPr>
          <w:p>
            <w:r>
              <w:rPr>
                <w:sz w:val="17"/>
              </w:rPr>
              <w:t>Gott -&gt; Christus -&gt; Engel -&gt; Johannes -&gt; Diener. Kurzer Daniel-Impuls. Fragen zu Herkunft, Christus und „bald“.</w:t>
            </w:r>
          </w:p>
        </w:tc>
      </w:tr>
      <w:tr>
        <w:tc>
          <w:tcPr>
            <w:tcW w:type="dxa" w:w="1474"/>
            <w:vAlign w:val="top"/>
          </w:tcPr>
          <w:p>
            <w:r>
              <w:rPr>
                <w:sz w:val="17"/>
              </w:rPr>
              <w:t>31-39 Min.</w:t>
            </w:r>
          </w:p>
        </w:tc>
        <w:tc>
          <w:tcPr>
            <w:tcW w:type="dxa" w:w="2381"/>
            <w:vAlign w:val="top"/>
          </w:tcPr>
          <w:p>
            <w:r>
              <w:rPr>
                <w:sz w:val="17"/>
              </w:rPr>
              <w:t>V. 2 - Zeugnis</w:t>
            </w:r>
          </w:p>
        </w:tc>
        <w:tc>
          <w:tcPr>
            <w:tcW w:type="dxa" w:w="5669"/>
            <w:vAlign w:val="top"/>
          </w:tcPr>
          <w:p>
            <w:r>
              <w:rPr>
                <w:sz w:val="17"/>
              </w:rPr>
              <w:t>Was tut Johannes? Unterschied zwischen Erfinden, Deuten und Bezeugen.</w:t>
            </w:r>
          </w:p>
        </w:tc>
      </w:tr>
      <w:tr>
        <w:tc>
          <w:tcPr>
            <w:tcW w:type="dxa" w:w="1474"/>
            <w:vAlign w:val="top"/>
          </w:tcPr>
          <w:p>
            <w:r>
              <w:rPr>
                <w:sz w:val="17"/>
              </w:rPr>
              <w:t>39-50 Min.</w:t>
            </w:r>
          </w:p>
        </w:tc>
        <w:tc>
          <w:tcPr>
            <w:tcW w:type="dxa" w:w="2381"/>
            <w:vAlign w:val="top"/>
          </w:tcPr>
          <w:p>
            <w:r>
              <w:rPr>
                <w:sz w:val="17"/>
              </w:rPr>
              <w:t>V. 3 - Gemeinde</w:t>
            </w:r>
          </w:p>
        </w:tc>
        <w:tc>
          <w:tcPr>
            <w:tcW w:type="dxa" w:w="5669"/>
            <w:vAlign w:val="top"/>
          </w:tcPr>
          <w:p>
            <w:r>
              <w:rPr>
                <w:sz w:val="17"/>
              </w:rPr>
              <w:t>Vorlesen - hören - bewahren. Seligpreisung und „Zeit ist nahe“. Gespräch über Sinn der Offenbarung.</w:t>
            </w:r>
          </w:p>
        </w:tc>
      </w:tr>
      <w:tr>
        <w:tc>
          <w:tcPr>
            <w:tcW w:type="dxa" w:w="1474"/>
            <w:vAlign w:val="top"/>
          </w:tcPr>
          <w:p>
            <w:r>
              <w:rPr>
                <w:sz w:val="17"/>
              </w:rPr>
              <w:t>50-56 Min.</w:t>
            </w:r>
          </w:p>
        </w:tc>
        <w:tc>
          <w:tcPr>
            <w:tcW w:type="dxa" w:w="2381"/>
            <w:vAlign w:val="top"/>
          </w:tcPr>
          <w:p>
            <w:r>
              <w:rPr>
                <w:sz w:val="17"/>
              </w:rPr>
              <w:t>Zusammenführen</w:t>
            </w:r>
          </w:p>
        </w:tc>
        <w:tc>
          <w:tcPr>
            <w:tcW w:type="dxa" w:w="5669"/>
            <w:vAlign w:val="top"/>
          </w:tcPr>
          <w:p>
            <w:r>
              <w:rPr>
                <w:sz w:val="17"/>
              </w:rPr>
              <w:t>Leitfrage: „Mit welcher Lesebrille sollten wir jetzt in die weiteren Kapitel gehen?“ Drei gemeinsame Leseregeln formulieren.</w:t>
            </w:r>
          </w:p>
        </w:tc>
      </w:tr>
      <w:tr>
        <w:tc>
          <w:tcPr>
            <w:tcW w:type="dxa" w:w="1474"/>
            <w:vAlign w:val="top"/>
          </w:tcPr>
          <w:p>
            <w:r>
              <w:rPr>
                <w:sz w:val="17"/>
              </w:rPr>
              <w:t>56-60 Min.</w:t>
            </w:r>
          </w:p>
        </w:tc>
        <w:tc>
          <w:tcPr>
            <w:tcW w:type="dxa" w:w="2381"/>
            <w:vAlign w:val="top"/>
          </w:tcPr>
          <w:p>
            <w:r>
              <w:rPr>
                <w:sz w:val="17"/>
              </w:rPr>
              <w:t>Kurzandacht</w:t>
            </w:r>
          </w:p>
        </w:tc>
        <w:tc>
          <w:tcPr>
            <w:tcW w:type="dxa" w:w="5669"/>
            <w:vAlign w:val="top"/>
          </w:tcPr>
          <w:p>
            <w:r>
              <w:rPr>
                <w:sz w:val="17"/>
              </w:rPr>
              <w:t>Christus als Ausgangspunkt der ganzen Bibelwoche; kurzes Gebet.</w:t>
            </w:r>
          </w:p>
        </w:tc>
      </w:tr>
    </w:tbl>
    <w:p>
      <w:r>
        <w:t>Gesamtdauer: 60 Minuten.</w:t>
      </w:r>
    </w:p>
    <w:p>
      <w:pPr>
        <w:pStyle w:val="Heading1"/>
      </w:pPr>
      <w:r>
        <w:t>16. Konkrete Gesprächs- und Vertiefungsfragen</w:t>
      </w:r>
    </w:p>
    <w:p>
      <w:pPr>
        <w:pStyle w:val="Heading2"/>
      </w:pPr>
      <w:r>
        <w:t>Einstieg</w:t>
      </w:r>
    </w:p>
    <w:p>
      <w:pPr>
        <w:pStyle w:val="IntenseQuote"/>
      </w:pPr>
      <w:r>
        <w:t>Wenn du das Wort „Offenbarung“ hörst: Was löst es bei dir aus - Neugier, Hoffnung, Unbehagen, Rätsel, Angst oder etwas anderes?</w:t>
      </w:r>
    </w:p>
    <w:p>
      <w:r>
        <w:t>Hier gibt es keine falsche Antwort.</w:t>
      </w:r>
    </w:p>
    <w:p>
      <w:pPr>
        <w:pStyle w:val="Heading2"/>
      </w:pPr>
      <w:r>
        <w:t>Zu V. 1 - BEOBACHTEN</w:t>
      </w:r>
    </w:p>
    <w:p>
      <w:pPr>
        <w:pStyle w:val="ListBullet"/>
      </w:pPr>
      <w:r>
        <w:t>Wer gibt wem was?</w:t>
      </w:r>
    </w:p>
    <w:p>
      <w:pPr>
        <w:pStyle w:val="ListBullet"/>
      </w:pPr>
      <w:r>
        <w:t>Wie viele Stationen durchläuft die Offenbarung, bevor sie bei den Gemeinden ankommt?</w:t>
      </w:r>
    </w:p>
    <w:p>
      <w:pPr>
        <w:pStyle w:val="IntenseQuote"/>
      </w:pPr>
      <w:r>
        <w:t>GOTT -&gt; JESUS CHRISTUS -&gt; ENGEL -&gt; JOHANNES -&gt; GEMEINDE</w:t>
      </w:r>
    </w:p>
    <w:p>
      <w:pPr>
        <w:pStyle w:val="Heading3"/>
      </w:pPr>
      <w:r>
        <w:t>VERSTEHEN</w:t>
      </w:r>
    </w:p>
    <w:p>
      <w:pPr>
        <w:pStyle w:val="IntenseQuote"/>
      </w:pPr>
      <w:r>
        <w:t>Was verändert sich, wenn wir „Offenbarung Jesu Christi“ zunächst nicht als „Buch über Jesus“, sondern als „Offenbarung, die von Jesus kommt“ verstehen?</w:t>
      </w:r>
    </w:p>
    <w:p>
      <w:pPr>
        <w:pStyle w:val="Heading3"/>
      </w:pPr>
      <w:r>
        <w:t>PRÜFEN</w:t>
      </w:r>
    </w:p>
    <w:p>
      <w:pPr>
        <w:pStyle w:val="IntenseQuote"/>
      </w:pPr>
      <w:r>
        <w:t>Warum braucht eine Botschaft, die von Gott stammt, überhaupt so viele Vermittler?</w:t>
      </w:r>
    </w:p>
    <w:p>
      <w:r>
        <w:t>Sehr schöne offene Frage: Sie kann zu Offenbarung, Zeugnis, menschlicher Sprache und Vertrauen führen.</w:t>
      </w:r>
    </w:p>
    <w:p>
      <w:pPr>
        <w:pStyle w:val="Heading3"/>
      </w:pPr>
      <w:r>
        <w:t>VERTIEFEN</w:t>
      </w:r>
    </w:p>
    <w:p>
      <w:pPr>
        <w:pStyle w:val="IntenseQuote"/>
      </w:pPr>
      <w:r>
        <w:t>Was steckt für euch in der Aussage: Geschichte geschieht nicht einfach nur - Gott weiß, wohin sie geht?</w:t>
      </w:r>
    </w:p>
    <w:p>
      <w:r>
        <w:t>Dabei unbedingt Fatalismus vermeiden.</w:t>
      </w:r>
    </w:p>
    <w:p>
      <w:pPr>
        <w:pStyle w:val="Heading2"/>
      </w:pPr>
      <w:r>
        <w:t>Zum „bald“</w:t>
      </w:r>
    </w:p>
    <w:p>
      <w:r>
        <w:t>Zunächst nicht erklären.</w:t>
      </w:r>
    </w:p>
    <w:p>
      <w:pPr>
        <w:pStyle w:val="ListBullet"/>
      </w:pPr>
      <w:r>
        <w:t>Was hört ihr, wenn Johannes sagt: „in Kürze“ und „die Zeit ist nahe“?</w:t>
      </w:r>
    </w:p>
    <w:p>
      <w:pPr>
        <w:pStyle w:val="ListBullet"/>
      </w:pPr>
      <w:r>
        <w:t>Was macht euch daran Schwierigkeiten?</w:t>
      </w:r>
    </w:p>
    <w:p>
      <w:pPr>
        <w:pStyle w:val="ListBullet"/>
      </w:pPr>
      <w:r>
        <w:t>Wäre es fair gegenüber Johannes, „bald“ einfach mit „irgendwann“ zu übersetzen?</w:t>
      </w:r>
    </w:p>
    <w:p>
      <w:r>
        <w:t>Dann erst exegetisch ergänzen: Die Spannung gehört zum Text und muss nicht aufgelöst werden.</w:t>
      </w:r>
    </w:p>
    <w:p>
      <w:pPr>
        <w:pStyle w:val="Heading2"/>
      </w:pPr>
      <w:r>
        <w:t>Zu V. 2 - Johannes als Zeuge</w:t>
      </w:r>
    </w:p>
    <w:p>
      <w:pPr>
        <w:pStyle w:val="Heading3"/>
      </w:pPr>
      <w:r>
        <w:t>BEOBACHTEN</w:t>
      </w:r>
    </w:p>
    <w:p>
      <w:pPr>
        <w:pStyle w:val="IntenseQuote"/>
      </w:pPr>
      <w:r>
        <w:t>Welches Verb beschreibt Johannes’ Aufgabe?</w:t>
      </w:r>
    </w:p>
    <w:p>
      <w:pPr>
        <w:pStyle w:val="Heading3"/>
      </w:pPr>
      <w:r>
        <w:t>VERSTEHEN</w:t>
      </w:r>
    </w:p>
    <w:p>
      <w:pPr>
        <w:pStyle w:val="IntenseQuote"/>
      </w:pPr>
      <w:r>
        <w:t>Was unterscheidet einen Zeugen von einem Zukunftsexperten?</w:t>
      </w:r>
    </w:p>
    <w:p>
      <w:r>
        <w:t>Das ist eine Schlüssel-Frage des Abends.</w:t>
      </w:r>
    </w:p>
    <w:p>
      <w:pPr>
        <w:pStyle w:val="Heading3"/>
      </w:pPr>
      <w:r>
        <w:t>VERTIEFEN</w:t>
      </w:r>
    </w:p>
    <w:p>
      <w:pPr>
        <w:pStyle w:val="IntenseQuote"/>
      </w:pPr>
      <w:r>
        <w:t>Welche Autorität beansprucht Johannes - und welche gerade nicht?</w:t>
      </w:r>
    </w:p>
    <w:p>
      <w:pPr>
        <w:pStyle w:val="Heading2"/>
      </w:pPr>
      <w:r>
        <w:t>Zu V. 3 - Lesen, Hören, Bewahren</w:t>
      </w:r>
    </w:p>
    <w:p>
      <w:pPr>
        <w:pStyle w:val="Heading3"/>
      </w:pPr>
      <w:r>
        <w:t>BEOBACHTEN</w:t>
      </w:r>
    </w:p>
    <w:p>
      <w:pPr>
        <w:pStyle w:val="IntenseQuote"/>
      </w:pPr>
      <w:r>
        <w:t>Was fällt grammatisch auf?</w:t>
      </w:r>
    </w:p>
    <w:p>
      <w:r>
        <w:t>Ein Einzelner liest - mehrere hören. Daraus ergibt sich sehr plausibel die Situation gemeinschaftlichen Vorlesens.</w:t>
      </w:r>
    </w:p>
    <w:p>
      <w:pPr>
        <w:pStyle w:val="Heading3"/>
      </w:pPr>
      <w:r>
        <w:t>VERSTEHEN</w:t>
      </w:r>
    </w:p>
    <w:p>
      <w:pPr>
        <w:pStyle w:val="IntenseQuote"/>
      </w:pPr>
      <w:r>
        <w:t>Warum steht am Anfang der Offenbarung eine Seligpreisung und keine Warnung?</w:t>
      </w:r>
    </w:p>
    <w:p>
      <w:pPr>
        <w:pStyle w:val="Heading3"/>
      </w:pPr>
      <w:r>
        <w:t>PRÜFEN</w:t>
      </w:r>
    </w:p>
    <w:p>
      <w:pPr>
        <w:pStyle w:val="IntenseQuote"/>
      </w:pPr>
      <w:r>
        <w:t>Wem gilt der Segen: denen, die alles verstanden haben - oder wem genau?</w:t>
      </w:r>
    </w:p>
    <w:p>
      <w:r>
        <w:t>Der Text sagt: lesen - hören - bewahren.</w:t>
      </w:r>
    </w:p>
    <w:p>
      <w:pPr>
        <w:pStyle w:val="Heading3"/>
      </w:pPr>
      <w:r>
        <w:t>VERTIEFEN</w:t>
      </w:r>
    </w:p>
    <w:p>
      <w:pPr>
        <w:pStyle w:val="IntenseQuote"/>
      </w:pPr>
      <w:r>
        <w:t>Was könnte „bewahren“ bei einem Buch bedeuten, das wir noch gar nicht vollständig verstanden haben?</w:t>
      </w:r>
    </w:p>
    <w:p>
      <w:pPr>
        <w:pStyle w:val="Heading3"/>
      </w:pPr>
      <w:r>
        <w:t>ÜBERTRAGEN</w:t>
      </w:r>
    </w:p>
    <w:p>
      <w:pPr>
        <w:pStyle w:val="IntenseQuote"/>
      </w:pPr>
      <w:r>
        <w:t>Wann hilft mir die Hoffnung, dass Gott Geschichte in der Hand hält - und wann könnte dieser Gedanke auch missbraucht werden?</w:t>
      </w:r>
    </w:p>
    <w:p>
      <w:r>
        <w:t>Diese Frage braucht Zeit und keine schnelle Musterantwort.</w:t>
      </w:r>
    </w:p>
    <w:p>
      <w:pPr>
        <w:pStyle w:val="Heading2"/>
      </w:pPr>
      <w:r>
        <w:t>Schlussfrage</w:t>
      </w:r>
    </w:p>
    <w:p>
      <w:pPr>
        <w:pStyle w:val="IntenseQuote"/>
      </w:pPr>
      <w:r>
        <w:t>Wenn Jesus Christus tatsächlich der Ausgangspunkt dieser Offenbarung ist: Was müsste sich dadurch an unserer Art verändern, die nächsten Kapitel zu lesen?</w:t>
      </w:r>
    </w:p>
    <w:p>
      <w:r>
        <w:t>Diese Frage führt direkt in die gesamte Reihe.</w:t>
      </w:r>
    </w:p>
    <w:p>
      <w:pPr>
        <w:pStyle w:val="Heading1"/>
      </w:pPr>
      <w:r>
        <w:t>17. Moderationshinweise und sensible Punkte</w:t>
      </w:r>
    </w:p>
    <w:p>
      <w:pPr>
        <w:pStyle w:val="Heading2"/>
      </w:pPr>
      <w:r>
        <w:t>1. Endzeitmodelle nicht lächerlich machen</w:t>
      </w:r>
    </w:p>
    <w:p>
      <w:r>
        <w:t>In Bibelkreisen können feste dispensationalistische, historistische, präteristische oder andere Deutungsmodelle vorhanden sein. Nicht sofort korrigieren.</w:t>
      </w:r>
    </w:p>
    <w:p>
      <w:pPr>
        <w:pStyle w:val="IntenseQuote"/>
      </w:pPr>
      <w:r>
        <w:t>Besser: „Wo siehst du das in unserem Text?“ Diese Frage hält das Gespräch textorientiert.</w:t>
      </w:r>
    </w:p>
    <w:p>
      <w:pPr>
        <w:pStyle w:val="Heading2"/>
      </w:pPr>
      <w:r>
        <w:t>2. „Bald“ nicht schnell harmonisieren</w:t>
      </w:r>
    </w:p>
    <w:p>
      <w:r>
        <w:t>Es darf stehenbleiben: Johannes sagt tatsächlich „bald“. Die Spannung zwischen damaliger Naherwartung und fast zweitausendjähriger Rezeptionsgeschichte ist eine echte hermeneutische Frage.</w:t>
      </w:r>
    </w:p>
    <w:p>
      <w:pPr>
        <w:pStyle w:val="Heading2"/>
      </w:pPr>
      <w:r>
        <w:t>3. Historischen Hintergrund sparsam einsetzen</w:t>
      </w:r>
    </w:p>
    <w:p>
      <w:r>
        <w:t>Die Debatte um Domitian gehört ins Leiterwissen, nicht in einen zehnminütigen Exkurs. Für die Gruppe reicht:</w:t>
      </w:r>
    </w:p>
    <w:p>
      <w:pPr>
        <w:pStyle w:val="IntenseQuote"/>
      </w:pPr>
      <w:r>
        <w:t>Die Gemeinden lebten in einer Welt, in der christliche Loyalität zu gesellschaftlichen und politischen Konflikten führen konnte.</w:t>
      </w:r>
    </w:p>
    <w:p>
      <w:pPr>
        <w:pStyle w:val="Heading2"/>
      </w:pPr>
      <w:r>
        <w:t>4. Urtext nur dort zeigen, wo er etwas öffnet</w:t>
      </w:r>
    </w:p>
    <w:p>
      <w:r>
        <w:t>Für den Abend reichen vier Begriffe:</w:t>
      </w:r>
    </w:p>
    <w:p>
      <w:pPr>
        <w:pStyle w:val="ListBullet"/>
      </w:pPr>
      <w:r>
        <w:t>ἀποκάλυψις - Offenbarung</w:t>
      </w:r>
    </w:p>
    <w:p>
      <w:pPr>
        <w:pStyle w:val="ListBullet"/>
      </w:pPr>
      <w:r>
        <w:t>μαρτυρία - Zeugnis</w:t>
      </w:r>
    </w:p>
    <w:p>
      <w:pPr>
        <w:pStyle w:val="ListBullet"/>
      </w:pPr>
      <w:r>
        <w:t>τηρεῖν - bewahren</w:t>
      </w:r>
    </w:p>
    <w:p>
      <w:pPr>
        <w:pStyle w:val="ListBullet"/>
      </w:pPr>
      <w:r>
        <w:t>καιρός - entscheidender Zeitpunkt</w:t>
      </w:r>
    </w:p>
    <w:p>
      <w:r>
        <w:t>Alles weitere gehört ins Leiterblatt.</w:t>
      </w:r>
    </w:p>
    <w:p>
      <w:pPr>
        <w:pStyle w:val="Heading2"/>
      </w:pPr>
      <w:r>
        <w:t>5. Die Reihe noch nicht vorwegnehmen</w:t>
      </w:r>
    </w:p>
    <w:p>
      <w:r>
        <w:t>Der Titel lautet „Dem Drachen ins Gesicht geschaut“. Doch der Drache gehört bewusst noch nicht auf die erste Textfolie. Gerade der Kontrast ist stark:</w:t>
      </w:r>
    </w:p>
    <w:p>
      <w:pPr>
        <w:pStyle w:val="IntenseQuote"/>
      </w:pPr>
      <w:r>
        <w:t>Bevor wir dem Drachen begegnen, begegnet uns Jesus Christus.</w:t>
      </w:r>
    </w:p>
    <w:p>
      <w:pPr>
        <w:pStyle w:val="Heading1"/>
      </w:pPr>
      <w:r>
        <w:t>18. Bibelarbeitscoach und Redundanzprüfung</w:t>
      </w:r>
    </w:p>
    <w:p>
      <w:r>
        <w:t>Die erste Rohstruktur hatte vier mögliche Nebenwege:</w:t>
      </w:r>
    </w:p>
    <w:p>
      <w:r>
        <w:t>1. lange Gattungsdiskussion</w:t>
      </w:r>
    </w:p>
    <w:p>
      <w:r>
        <w:t>2. ausführliche Geschichte der griechischen Mantik</w:t>
      </w:r>
    </w:p>
    <w:p>
      <w:r>
        <w:t>3. Domitian-Debatte</w:t>
      </w:r>
    </w:p>
    <w:p>
      <w:r>
        <w:t>4. detaillierter textkritischer Apparat</w:t>
      </w:r>
    </w:p>
    <w:p>
      <w:r>
        <w:t>Alle vier wurden aus dem Gesprächsteil gestrichen beziehungsweise stark gekürzt. Sie sind für die Leitung wichtig, würden aber die Dramaturgie des ersten Abends schwächen.</w:t>
      </w:r>
    </w:p>
    <w:p>
      <w:pPr>
        <w:pStyle w:val="IntenseQuote"/>
      </w:pPr>
      <w:r>
        <w:t>Coach-Ergebnis: Der eigentliche rote Faden lautet jetzt konsequent: Was ist Offenbarung? -&gt; Woher kommt sie? -&gt; Wer bezeugt sie? -&gt; Wie sollen wir mit ihr umgehen?</w:t>
      </w:r>
    </w:p>
    <w:p>
      <w:r>
        <w:t>Damit ist die Leitfrage „Die Offenbarung &amp; Jesus Christus“ deutlich genug präsent.</w:t>
      </w:r>
    </w:p>
    <w:p>
      <w:pPr>
        <w:pStyle w:val="Heading1"/>
      </w:pPr>
      <w:r>
        <w:t>19. Zusammenfassende Kurzandacht - etwa 3 Minuten</w:t>
      </w:r>
    </w:p>
    <w:p>
      <w:r>
        <w:t>Unsere Bibelwoche heißt: „Dem Drachen ins Gesicht geschaut.“ Und wenn wir an die Offenbarung denken, fallen uns tatsächlich schnell Drachen, Tiere, Katastrophen, Zahlen und rätselhafte Bilder ein.</w:t>
      </w:r>
    </w:p>
    <w:p>
      <w:r>
        <w:t>Johannes beginnt überraschend anders.</w:t>
      </w:r>
    </w:p>
    <w:p>
      <w:r>
        <w:t>Sein erstes Wort heißt Offenbarung. Und unmittelbar danach fällt der Name Jesus Christus.</w:t>
      </w:r>
    </w:p>
    <w:p>
      <w:r>
        <w:t>Das ist kein Zufall. Bevor Johannes uns zeigt, was Angst machen kann, sagt er uns, von wo aus wir hinschauen sollen. Gott gibt diese Offenbarung Jesus Christus. Christus lässt sie Johannes zukommen. Johannes bezeugt sie. Ein Mensch liest sie vor. Andere hören. Und sie sollen bewahren, was sie hören.</w:t>
      </w:r>
    </w:p>
    <w:p>
      <w:r>
        <w:t>So wandert Gottes Wort bis zu Menschen, die mitten in einer unübersichtlichen Welt leben.</w:t>
      </w:r>
    </w:p>
    <w:p>
      <w:r>
        <w:t>Und genau dort gehört die Offenbarung hin.</w:t>
      </w:r>
    </w:p>
    <w:p>
      <w:r>
        <w:t>Nicht in die Hände von Menschen, die meinen, mit ihr sämtliche Geheimnisse der Zukunft entschlüsseln zu können. Sondern in eine Gemeinde, die hören möchte: Wie sieht unsere Wirklichkeit aus, wenn wir sie von Gott her sehen?</w:t>
      </w:r>
    </w:p>
    <w:p>
      <w:r>
        <w:t>Das ist auch die Einladung für unsere Bibelwoche.</w:t>
      </w:r>
    </w:p>
    <w:p>
      <w:r>
        <w:t>Wir werden dem Drachen begegnen. Wir werden Bilder sehen, die fremd, gewaltig und manchmal erschreckend sind. Aber bevor der Drache erscheint, steht Jesus Christus am Anfang.</w:t>
      </w:r>
    </w:p>
    <w:p>
      <w:r>
        <w:t>Und darum möchte ich einen Satz mit in die kommenden Abende nehmen:</w:t>
      </w:r>
    </w:p>
    <w:p>
      <w:pPr>
        <w:jc w:val="center"/>
      </w:pPr>
      <w:r>
        <w:rPr>
          <w:b/>
        </w:rPr>
        <w:t>Wer dem Drachen ins Gesicht schaut, sollte wissen, von wem her er schaut: von Jesus Christus her.</w:t>
      </w:r>
    </w:p>
    <w:p>
      <w:r>
        <w:t>Denn die Offenbarung beginnt nicht mit der Angst. Sie beginnt mit dem, der uns Gottes Wirklichkeit zeigt.</w:t>
      </w:r>
    </w:p>
    <w:p>
      <w:pPr>
        <w:pStyle w:val="Heading1"/>
      </w:pPr>
      <w:r>
        <w:t>20. Forschungsagenda - was noch nachzuprüfen bleibt</w:t>
      </w:r>
    </w:p>
    <w:p>
      <w:r>
        <w:t>1. NA28/GNT6: Haupttext Offb 1,1-3 ist geklärt; bei einer vertieften wissenschaftlichen Ausarbeitung könnte der vollständige GNT6-Apparat nochmals mit der gedruckten Ausgabe kontrolliert werden.</w:t>
      </w:r>
    </w:p>
    <w:p>
      <w:r>
        <w:t>2. μαρτυρία Ἰησοῦ Χριστοῦ: Die subjektive bzw. objektive Genitivfrage sollte im weiteren Verlauf des Buches erneut überprüft werden, insbesondere an Offb 1,9; 6,9; 12,17; 19,10; 20,4.</w:t>
      </w:r>
    </w:p>
    <w:p>
      <w:r>
        <w:t>3. ἐν τάχει / καιρὸς ἐγγύς: Die Spannung zwischen ursprünglicher Naherwartung und theologischer Gegenwartsbedeutung verdient eine eigene Vertiefung.</w:t>
      </w:r>
    </w:p>
    <w:p>
      <w:r>
        <w:t>4. Berger - δεῖ γενέσθαι: Seine traditionsgeschichtliche Verbindung zur griechischen Mantik sollte in den von ihm angegebenen Primärquellen geprüft werden, wenn diese These weiterverwendet werden soll.</w:t>
      </w:r>
    </w:p>
    <w:p>
      <w:r>
        <w:t>5. Redaktionshypothese 1,1-3: Bergers Überlegungen zu einer redaktionellen Rahmung sind interessant, aber für die Auslegung nicht notwendig und müssten mit aktuellerer Kommentarliteratur gegengeprüft werden.</w:t>
      </w:r>
    </w:p>
    <w:p>
      <w:r>
        <w:t>6. Domitian: Keine Bibelarbeit sollte mehr selbstverständlich von einer reichsweiten Domitian-Verfolgung ausgehen.</w:t>
      </w:r>
    </w:p>
    <w:p>
      <w:r>
        <w:t>7. Johannes: Die genaue Identität des Verfassers bleibt offen; aus 1,1-3 selbst ist keine Identifizierung mit dem Zebedaiden Johannes zu erzwingen.</w:t>
      </w:r>
    </w:p>
    <w:p>
      <w:r>
        <w:t>8. Nach dem ersten Abend: Beobachten, welche Vorverständnisse zur Offenbarung tatsächlich in der Gruppe vorhanden sind. Diese sollten die Gewichtung der folgenden Abende beeinflussen.</w:t>
      </w:r>
    </w:p>
    <w:p>
      <w:pPr>
        <w:pStyle w:val="Heading1"/>
      </w:pPr>
      <w:r>
        <w:t>21. Literatur- und Quellenbasis</w:t>
      </w:r>
    </w:p>
    <w:p>
      <w:pPr>
        <w:pStyle w:val="Heading2"/>
      </w:pPr>
      <w:r>
        <w:t>Bereitgestelltes Material</w:t>
      </w:r>
    </w:p>
    <w:p>
      <w:r>
        <w:t>Klaus Berger, Die Apokalypse des Johannes. Kommentar, Herder, München 2017, Ausschnitte zu Offb 1 und Folgeabschnitten, vom Nutzer bereitgestellt.</w:t>
      </w:r>
    </w:p>
    <w:p>
      <w:r>
        <w:t>ChatGPT-LOOP für Exegese und Bibelarbeitsvorbereitung, Version 1.1, Stand 18.09.2026, vom Nutzer bereitgestellt.</w:t>
      </w:r>
    </w:p>
    <w:p>
      <w:pPr>
        <w:pStyle w:val="Heading2"/>
      </w:pPr>
      <w:r>
        <w:t>Textausgaben</w:t>
      </w:r>
    </w:p>
    <w:p>
      <w:pPr>
        <w:pStyle w:val="ListBullet"/>
      </w:pPr>
      <w:r>
        <w:t>Nestle-Aland, Novum Testamentum Graece, 28. Auflage, Deutsche Bibelgesellschaft; Offb 1. https://www.die-bibel.de/bibel/NA28/REV.1</w:t>
      </w:r>
    </w:p>
    <w:p>
      <w:pPr>
        <w:pStyle w:val="ListBullet"/>
      </w:pPr>
      <w:r>
        <w:t>Editio Critica Maior VI, Die Offenbarung des Johannes, Deutsche Bibelgesellschaft 2024; Grundlage der Textrevision in GNT6. https://www.die-bibel.de/gnt6</w:t>
      </w:r>
    </w:p>
    <w:p>
      <w:pPr>
        <w:pStyle w:val="ListBullet"/>
      </w:pPr>
      <w:r>
        <w:t>Biblia Hebraica Stuttgartensia, Daniel 2, Deutsche Bibelgesellschaft. https://www.die-bibel.de/bibel/BHS/DAN.2</w:t>
      </w:r>
    </w:p>
    <w:p>
      <w:pPr>
        <w:pStyle w:val="ListBullet"/>
      </w:pPr>
      <w:r>
        <w:t>Lutherbibel 2017, Offb 1,1-3. https://www.die-bibel.de/bibel/LU17/REV.1</w:t>
      </w:r>
    </w:p>
    <w:p>
      <w:pPr>
        <w:pStyle w:val="ListBullet"/>
      </w:pPr>
      <w:r>
        <w:t>BasisBibel, Offb 1,1-3. https://www.die-bibel.de/bibel/BB/REV.1</w:t>
      </w:r>
    </w:p>
    <w:p>
      <w:pPr>
        <w:pStyle w:val="Heading2"/>
      </w:pPr>
      <w:r>
        <w:t>Lexika und Forschung</w:t>
      </w:r>
    </w:p>
    <w:p>
      <w:pPr>
        <w:pStyle w:val="ListBullet"/>
      </w:pPr>
      <w:r>
        <w:t>Christfried Böttrich, „Apokalyptik (NT)“, WiBiLex, Deutsche Bibelgesellschaft. https://www.die-bibel.de/stichwort/49908</w:t>
      </w:r>
    </w:p>
    <w:p>
      <w:pPr>
        <w:pStyle w:val="ListBullet"/>
      </w:pPr>
      <w:r>
        <w:t>Joachim Theis, „Offenbarung des Johannes, bibeldidaktisch“, WiReLex, 2023. https://www.die-bibel.de/stichwort/201097/</w:t>
      </w:r>
    </w:p>
    <w:p>
      <w:pPr>
        <w:pStyle w:val="ListBullet"/>
      </w:pPr>
      <w:r>
        <w:t>Robert J. van Niekerk / Ernest van Eck, „Revelation as an apocalypse: Critical considerations on the literary genre apocalypse“, Verbum et Ecclesia 46, 2025. https://verbumetecclesia.org.za/index.php/ve/article/view/3553/9252</w:t>
      </w:r>
    </w:p>
    <w:p>
      <w:pPr>
        <w:pStyle w:val="ListBullet"/>
      </w:pPr>
      <w:r>
        <w:t>Thomas B. Slater, „On the Social Setting of the Revelation to John“, New Testament Studies 44, 1998, 232-256. https://www.cambridge.org/core/journals/new-testament-studies/article/abs/on-the-social-setting-of-the-revelation-to-john/B416D6BFF0F2CE934E4B3A4816DEEE62</w:t>
      </w:r>
    </w:p>
    <w:p>
      <w:pPr>
        <w:pStyle w:val="ListBullet"/>
      </w:pPr>
      <w:r>
        <w:t>M. Eugene Boring, Revelation, Interpretation Commentary; besonders zur Naherwartung in 1,1-3.</w:t>
      </w:r>
    </w:p>
    <w:p>
      <w:pPr>
        <w:pStyle w:val="ListBullet"/>
      </w:pPr>
      <w:r>
        <w:t>Grant R. Osborne, Revelation, Baker Exegetical Commentary on the New Testament; Gliederung und Auslegung des Prologs 1,1-3.</w:t>
      </w:r>
    </w:p>
    <w:p>
      <w:pPr>
        <w:pStyle w:val="Heading1"/>
      </w:pPr>
      <w:r>
        <w:t>Qualitätszeile</w:t>
      </w:r>
    </w:p>
    <w:p>
      <w:pPr>
        <w:pStyle w:val="IntenseQuote"/>
      </w:pPr>
      <w:r>
        <w:t>Breit belegt: Aufbau 1,1-3; Vermittlung Gott -&gt; Christus -&gt; Johannes -&gt; Gemeinde; Daniel-2-Bezug; gemeinschaftliches Lesen/Hören; ethische Funktion des Bewahrens; echte eschatologische Dringlichkeit.</w:t>
      </w:r>
    </w:p>
    <w:p>
      <w:pPr>
        <w:pStyle w:val="IntenseQuote"/>
      </w:pPr>
      <w:r>
        <w:t>Umstritten: genaue Reichweite der Naherwartung; Genitiv „Zeugnis Jesu“; genaue Gattungsfunktion von ἀποκάλυψις; Identität des Johannes; redaktionsgeschichtliche Entstehung.</w:t>
      </w:r>
    </w:p>
    <w:p>
      <w:pPr>
        <w:pStyle w:val="IntenseQuote"/>
      </w:pPr>
      <w:r>
        <w:t>Aus Nutzerdatei besonders relevant: Berger zu prophetischer Legitimation, Daniel 2, Naherwartung und „was geschehen muss“.</w:t>
      </w:r>
    </w:p>
    <w:p>
      <w:pPr>
        <w:pStyle w:val="IntenseQuote"/>
      </w:pPr>
      <w:r>
        <w:t>Durch Gegenprüfung relativiert: Bergers weitreichende Ableitung des δεῖ aus griechischer Mantik und eine zu starke Bindung an eine Domitian-Verfolgung.</w:t>
      </w:r>
    </w:p>
    <w:p>
      <w:pPr>
        <w:pStyle w:val="IntenseQuote"/>
      </w:pPr>
      <w:r>
        <w:t>Offen/nachzuprüfen: Verhältnis von Naherwartung und bleibender Geltung sowie die Funktion von μαρτυρία Ἰησοῦ im Gesamtbuch.</w:t>
      </w:r>
    </w:p>
    <w:sectPr w:rsidR="00FC693F" w:rsidRPr="0006063C" w:rsidSect="00034616">
      <w:footerReference w:type="default" r:id="rId9"/>
      <w:pgSz w:w="12240" w:h="15840"/>
      <w:pgMar w:top="1020" w:right="1191" w:bottom="96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Bibelwoche 2026/2027 - Dem Drachen ins Gesicht geschaut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erif" w:hAnsi="Liberation Serif" w:eastAsia="Liberation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eastAsia="Liberation San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eastAsia="Liberation San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eastAsia="Liberation Sans"/>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eastAsia="Liberation Sans"/>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ans" w:hAnsi="Liberation Sans" w:eastAsia="Liberation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Liberation Serif" w:hAnsi="Liberation Serif"/>
      <w:b/>
      <w:bCs/>
      <w:i/>
      <w:iCs/>
      <w:color w:val="4F81BD" w:themeColor="accent1"/>
      <w:sz w:val="2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