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Logos: 30 weitere Sammlungsregeln</w:t>
      </w:r>
    </w:p>
    <w:p>
      <w:pPr>
        <w:jc w:val="center"/>
      </w:pPr>
      <w:r>
        <w:rPr>
          <w:b/>
          <w:sz w:val="24"/>
        </w:rPr>
        <w:t>Für Bibliothek, Suchen, Guides und allgemeine Studienarbeit – unabhängig von ASK &amp; Explain</w:t>
      </w:r>
    </w:p>
    <w:p>
      <w:r>
        <w:rPr>
          <w:b/>
        </w:rPr>
        <w:t xml:space="preserve">Worum es hier geht. </w:t>
      </w:r>
      <w:r>
        <w:t>Diese Sammlung ergänzt die bisherigen Regeln um allgemeine Bibliotheks- und Studienzwecke. Sammlungen lassen sich in Logos unter anderem für Suchen, Guides, Bibliographien und parallele Ressourcen verwenden. Die Regeln sind in zwei Gruppen gekennzeichnet: „robust“ arbeitet überwiegend mit klaren Metadaten wie Typ, Sprache oder Lesestatus; „metadatenabhängig“ sollte einmal anhand der Ergebnisliste kontrolliert und bei Bedarf mit eigenen Tags ergänzt werden.</w:t>
      </w:r>
    </w:p>
    <w:p>
      <w:pPr>
        <w:pStyle w:val="SmallNote"/>
      </w:pPr>
      <w:r>
        <w:rPr>
          <w:b/>
        </w:rPr>
        <w:t xml:space="preserve">Wichtig: </w:t>
      </w:r>
      <w:r>
        <w:t>Sammlungen werden in der Desktop-App erstellt und zeigen dort nur Bücher, die auf dem Computer heruntergeladen sind. Feldsyntax ohne Leerzeichen nach dem Doppelpunkt schreiben; Wortgruppen in gerade Anführungszeichen setzen. Für exakte Werte kann die Erweiterungssyntax in geschweiften Klammern verwendet werden.</w:t>
      </w:r>
    </w:p>
    <w:p>
      <w:pPr>
        <w:pStyle w:val="Heading1"/>
        <w:keepNext/>
      </w:pPr>
      <w:r>
        <w:t>A. Grundtypen und Sprachen</w:t>
      </w:r>
    </w:p>
    <w:p>
      <w:pPr>
        <w:pStyle w:val="Heading2"/>
        <w:keepNext/>
      </w:pPr>
      <w:r>
        <w:rPr>
          <w:b/>
        </w:rPr>
        <w:t>1. Alle Bibeln</w:t>
      </w:r>
      <w:r>
        <w:rPr>
          <w:i/>
          <w:color w:val="187235"/>
          <w:sz w:val="18"/>
        </w:rPr>
        <w:t xml:space="preserve">   [robust]</w:t>
      </w:r>
    </w:p>
    <w:p>
      <w:pPr>
        <w:pStyle w:val="CodeRule"/>
        <w:keepNext/>
        <w:shd w:fill="EEF4FB"/>
      </w:pPr>
      <w:r>
        <w:t>type:bible</w:t>
      </w:r>
    </w:p>
    <w:p>
      <w:pPr>
        <w:keepLines/>
      </w:pPr>
      <w:r>
        <w:t>Enthält alle Ressourcen, die Logos als Bibel klassifiziert.</w:t>
      </w:r>
    </w:p>
    <w:p>
      <w:pPr>
        <w:pStyle w:val="Heading2"/>
        <w:keepNext/>
      </w:pPr>
      <w:r>
        <w:rPr>
          <w:b/>
        </w:rPr>
        <w:t>2. Deutsche Bibeln</w:t>
      </w:r>
      <w:r>
        <w:rPr>
          <w:i/>
          <w:color w:val="187235"/>
          <w:sz w:val="18"/>
        </w:rPr>
        <w:t xml:space="preserve">   [robust]</w:t>
      </w:r>
    </w:p>
    <w:p>
      <w:pPr>
        <w:pStyle w:val="CodeRule"/>
        <w:keepNext/>
        <w:shd w:fill="EEF4FB"/>
      </w:pPr>
      <w:r>
        <w:t>type:bible lang:German</w:t>
      </w:r>
    </w:p>
    <w:p>
      <w:pPr>
        <w:keepLines/>
      </w:pPr>
      <w:r>
        <w:t>Praktisch für Bibelvergleich, Parallelressourcen und deutschsprachige Studienlayouts.</w:t>
      </w:r>
    </w:p>
    <w:p>
      <w:pPr>
        <w:pStyle w:val="Heading2"/>
        <w:keepNext/>
      </w:pPr>
      <w:r>
        <w:rPr>
          <w:b/>
        </w:rPr>
        <w:t>3. Englische Bibeln</w:t>
      </w:r>
      <w:r>
        <w:rPr>
          <w:i/>
          <w:color w:val="187235"/>
          <w:sz w:val="18"/>
        </w:rPr>
        <w:t xml:space="preserve">   [robust]</w:t>
      </w:r>
    </w:p>
    <w:p>
      <w:pPr>
        <w:pStyle w:val="CodeRule"/>
        <w:keepNext/>
        <w:shd w:fill="EEF4FB"/>
      </w:pPr>
      <w:r>
        <w:t>type:bible lang:English</w:t>
      </w:r>
    </w:p>
    <w:p>
      <w:pPr>
        <w:keepLines/>
      </w:pPr>
      <w:r>
        <w:t>Nützlich für den Vergleich englischer Übersetzungen.</w:t>
      </w:r>
    </w:p>
    <w:p>
      <w:pPr>
        <w:pStyle w:val="Heading2"/>
        <w:keepNext/>
      </w:pPr>
      <w:r>
        <w:rPr>
          <w:b/>
        </w:rPr>
        <w:t>4. Griechische Bibeln</w:t>
      </w:r>
      <w:r>
        <w:rPr>
          <w:i/>
          <w:color w:val="187235"/>
          <w:sz w:val="18"/>
        </w:rPr>
        <w:t xml:space="preserve">   [robust]</w:t>
      </w:r>
    </w:p>
    <w:p>
      <w:pPr>
        <w:pStyle w:val="CodeRule"/>
        <w:keepNext/>
        <w:shd w:fill="EEF4FB"/>
      </w:pPr>
      <w:r>
        <w:t>type:bible lang:Greek ANDNOT subject:Manuscript</w:t>
      </w:r>
    </w:p>
    <w:p>
      <w:pPr>
        <w:keepLines/>
      </w:pPr>
      <w:r>
        <w:t>Griechische Bibelausgaben; Handschriften werden nach Möglichkeit ausgeschlossen.</w:t>
      </w:r>
    </w:p>
    <w:p>
      <w:pPr>
        <w:pStyle w:val="Heading2"/>
        <w:keepNext/>
      </w:pPr>
      <w:r>
        <w:rPr>
          <w:b/>
        </w:rPr>
        <w:t>5. Alle Bibelkommentare</w:t>
      </w:r>
      <w:r>
        <w:rPr>
          <w:i/>
          <w:color w:val="187235"/>
          <w:sz w:val="18"/>
        </w:rPr>
        <w:t xml:space="preserve">   [robust]</w:t>
      </w:r>
    </w:p>
    <w:p>
      <w:pPr>
        <w:pStyle w:val="CodeRule"/>
        <w:keepNext/>
        <w:shd w:fill="EEF4FB"/>
      </w:pPr>
      <w:r>
        <w:t>type:"bible commentary"</w:t>
      </w:r>
    </w:p>
    <w:p>
      <w:pPr>
        <w:keepLines/>
      </w:pPr>
      <w:r>
        <w:t>Aktuelle Logos-Feldsyntax für Ressourcen vom Typ Bibelkommentar.</w:t>
      </w:r>
    </w:p>
    <w:p>
      <w:pPr>
        <w:pStyle w:val="Heading2"/>
        <w:keepNext/>
      </w:pPr>
      <w:r>
        <w:rPr>
          <w:b/>
        </w:rPr>
        <w:t>6. Monographien</w:t>
      </w:r>
      <w:r>
        <w:rPr>
          <w:i/>
          <w:color w:val="187235"/>
          <w:sz w:val="18"/>
        </w:rPr>
        <w:t xml:space="preserve">   [robust]</w:t>
      </w:r>
    </w:p>
    <w:p>
      <w:pPr>
        <w:pStyle w:val="CodeRule"/>
        <w:keepNext/>
        <w:shd w:fill="EEF4FB"/>
      </w:pPr>
      <w:r>
        <w:t>type:monograph</w:t>
      </w:r>
    </w:p>
    <w:p>
      <w:pPr>
        <w:keepLines/>
      </w:pPr>
      <w:r>
        <w:t>Sammelt wissenschaftliche und allgemeine Monographien. Die Sammlung kann sehr groß werden.</w:t>
      </w:r>
    </w:p>
    <w:p>
      <w:pPr>
        <w:pStyle w:val="Heading2"/>
        <w:keepNext/>
      </w:pPr>
      <w:r>
        <w:rPr>
          <w:b/>
        </w:rPr>
        <w:t>7. Lexika</w:t>
      </w:r>
      <w:r>
        <w:rPr>
          <w:i/>
          <w:color w:val="187235"/>
          <w:sz w:val="18"/>
        </w:rPr>
        <w:t xml:space="preserve">   [robust]</w:t>
      </w:r>
    </w:p>
    <w:p>
      <w:pPr>
        <w:pStyle w:val="CodeRule"/>
        <w:keepNext/>
        <w:shd w:fill="EEF4FB"/>
      </w:pPr>
      <w:r>
        <w:t>type:lexicon</w:t>
      </w:r>
    </w:p>
    <w:p>
      <w:pPr>
        <w:keepLines/>
      </w:pPr>
      <w:r>
        <w:t>Lexika verschiedener Sprachen und Fachgebiete.</w:t>
      </w:r>
    </w:p>
    <w:p>
      <w:pPr>
        <w:pStyle w:val="Heading2"/>
        <w:keepNext/>
      </w:pPr>
      <w:r>
        <w:rPr>
          <w:b/>
        </w:rPr>
        <w:t>8. Textkritische Apparate</w:t>
      </w:r>
      <w:r>
        <w:rPr>
          <w:i/>
          <w:color w:val="187235"/>
          <w:sz w:val="18"/>
        </w:rPr>
        <w:t xml:space="preserve">   [robust]</w:t>
      </w:r>
    </w:p>
    <w:p>
      <w:pPr>
        <w:pStyle w:val="CodeRule"/>
        <w:keepNext/>
        <w:shd w:fill="EEF4FB"/>
      </w:pPr>
      <w:r>
        <w:t>type:apparatus</w:t>
      </w:r>
    </w:p>
    <w:p>
      <w:pPr>
        <w:keepLines/>
      </w:pPr>
      <w:r>
        <w:t>Sammelt Apparate; besonders hilfreich für textkritische Arbeit.</w:t>
      </w:r>
    </w:p>
    <w:p>
      <w:pPr>
        <w:pStyle w:val="Heading2"/>
        <w:keepNext/>
      </w:pPr>
      <w:r>
        <w:rPr>
          <w:b/>
        </w:rPr>
        <w:t>9. Fachzeitschriften / Journals</w:t>
      </w:r>
      <w:r>
        <w:rPr>
          <w:i/>
          <w:color w:val="187235"/>
          <w:sz w:val="18"/>
        </w:rPr>
        <w:t xml:space="preserve">   [robust]</w:t>
      </w:r>
    </w:p>
    <w:p>
      <w:pPr>
        <w:pStyle w:val="CodeRule"/>
        <w:keepNext/>
        <w:shd w:fill="EEF4FB"/>
      </w:pPr>
      <w:r>
        <w:t>type:journal</w:t>
      </w:r>
    </w:p>
    <w:p>
      <w:pPr>
        <w:keepLines/>
      </w:pPr>
      <w:r>
        <w:t>Alle Ressourcen, die Logos als Journal klassifiziert.</w:t>
      </w:r>
    </w:p>
    <w:p>
      <w:pPr>
        <w:pStyle w:val="Heading2"/>
        <w:keepNext/>
      </w:pPr>
      <w:r>
        <w:rPr>
          <w:b/>
        </w:rPr>
        <w:t>10. Magazine / Zeitschriften</w:t>
      </w:r>
      <w:r>
        <w:rPr>
          <w:i/>
          <w:color w:val="187235"/>
          <w:sz w:val="18"/>
        </w:rPr>
        <w:t xml:space="preserve">   [robust]</w:t>
      </w:r>
    </w:p>
    <w:p>
      <w:pPr>
        <w:pStyle w:val="CodeRule"/>
        <w:keepNext/>
        <w:shd w:fill="EEF4FB"/>
      </w:pPr>
      <w:r>
        <w:t>type:magazine</w:t>
      </w:r>
    </w:p>
    <w:p>
      <w:pPr>
        <w:keepLines/>
      </w:pPr>
      <w:r>
        <w:t>Zeitschriften, die als Magazine katalogisiert sind.</w:t>
      </w:r>
    </w:p>
    <w:p>
      <w:pPr>
        <w:pStyle w:val="Heading2"/>
        <w:keepNext/>
      </w:pPr>
      <w:r>
        <w:rPr>
          <w:b/>
        </w:rPr>
        <w:t>11. Lektionare</w:t>
      </w:r>
      <w:r>
        <w:rPr>
          <w:i/>
          <w:color w:val="187235"/>
          <w:sz w:val="18"/>
        </w:rPr>
        <w:t xml:space="preserve">   [robust]</w:t>
      </w:r>
    </w:p>
    <w:p>
      <w:pPr>
        <w:pStyle w:val="CodeRule"/>
        <w:keepNext/>
        <w:shd w:fill="EEF4FB"/>
      </w:pPr>
      <w:r>
        <w:t>type:lectionary</w:t>
      </w:r>
    </w:p>
    <w:p>
      <w:pPr>
        <w:keepLines/>
      </w:pPr>
      <w:r>
        <w:t>Lektionare für Gottesdienst- und Perikopenarbeit.</w:t>
      </w:r>
    </w:p>
    <w:p>
      <w:pPr>
        <w:pStyle w:val="Heading2"/>
        <w:keepNext/>
      </w:pPr>
      <w:r>
        <w:rPr>
          <w:b/>
        </w:rPr>
        <w:t>12. Enzyklopädien</w:t>
      </w:r>
      <w:r>
        <w:rPr>
          <w:i/>
          <w:color w:val="187235"/>
          <w:sz w:val="18"/>
        </w:rPr>
        <w:t xml:space="preserve">   [robust]</w:t>
      </w:r>
    </w:p>
    <w:p>
      <w:pPr>
        <w:pStyle w:val="CodeRule"/>
        <w:keepNext/>
        <w:shd w:fill="EEF4FB"/>
      </w:pPr>
      <w:r>
        <w:t>type:encyclopedia</w:t>
      </w:r>
    </w:p>
    <w:p>
      <w:pPr>
        <w:keepLines/>
      </w:pPr>
      <w:r>
        <w:t>Allgemeine und theologische Enzyklopädien.</w:t>
      </w:r>
    </w:p>
    <w:p>
      <w:pPr>
        <w:pStyle w:val="Heading1"/>
        <w:keepNext/>
      </w:pPr>
      <w:r>
        <w:t>B. Sprach- und Nachschlagewerke</w:t>
      </w:r>
    </w:p>
    <w:p>
      <w:pPr>
        <w:pStyle w:val="Heading2"/>
        <w:keepNext/>
      </w:pPr>
      <w:r>
        <w:rPr>
          <w:b/>
        </w:rPr>
        <w:t>13. Bibellexika und Bibelenzyklopädien</w:t>
      </w:r>
      <w:r>
        <w:rPr>
          <w:i/>
          <w:color w:val="9A5B00"/>
          <w:sz w:val="18"/>
        </w:rPr>
        <w:t xml:space="preserve">   [metadatenabhängig]</w:t>
      </w:r>
    </w:p>
    <w:p>
      <w:pPr>
        <w:pStyle w:val="CodeRule"/>
        <w:keepNext/>
        <w:shd w:fill="EEF4FB"/>
      </w:pPr>
      <w:r>
        <w:t>(type:encyclopedia AND subject:Bible) OR (type:monograph AND subject:"Bible—Dictionaries")</w:t>
      </w:r>
    </w:p>
    <w:p>
      <w:pPr>
        <w:keepLines/>
      </w:pPr>
      <w:r>
        <w:t>Ein guter Ausgangspunkt für Bibellexika. Je nach Bibliothek können einzelne Werke fehlen oder zusätzliche Treffer auftauchen.</w:t>
      </w:r>
    </w:p>
    <w:p>
      <w:pPr>
        <w:pStyle w:val="Heading2"/>
        <w:keepNext/>
      </w:pPr>
      <w:r>
        <w:rPr>
          <w:b/>
        </w:rPr>
        <w:t>14. Griechische Lexika</w:t>
      </w:r>
      <w:r>
        <w:rPr>
          <w:i/>
          <w:color w:val="9A5B00"/>
          <w:sz w:val="18"/>
        </w:rPr>
        <w:t xml:space="preserve">   [metadatenabhängig]</w:t>
      </w:r>
    </w:p>
    <w:p>
      <w:pPr>
        <w:pStyle w:val="CodeRule"/>
        <w:keepNext/>
        <w:shd w:fill="EEF4FB"/>
      </w:pPr>
      <w:r>
        <w:t>type:lexicon AND (subject:Greek OR title:Greek) ANDNOT title:(glossary,vocab)</w:t>
      </w:r>
    </w:p>
    <w:p>
      <w:pPr>
        <w:keepLines/>
      </w:pPr>
      <w:r>
        <w:t>Grenzt Lexika auf griechische Sprachressourcen ein und versucht einfache Glossare/Vokabellisten auszuschließen.</w:t>
      </w:r>
    </w:p>
    <w:p>
      <w:pPr>
        <w:pStyle w:val="Heading2"/>
        <w:keepNext/>
      </w:pPr>
      <w:r>
        <w:rPr>
          <w:b/>
        </w:rPr>
        <w:t>15. Hebräische Lexika</w:t>
      </w:r>
      <w:r>
        <w:rPr>
          <w:i/>
          <w:color w:val="9A5B00"/>
          <w:sz w:val="18"/>
        </w:rPr>
        <w:t xml:space="preserve">   [metadatenabhängig]</w:t>
      </w:r>
    </w:p>
    <w:p>
      <w:pPr>
        <w:pStyle w:val="CodeRule"/>
        <w:keepNext/>
        <w:shd w:fill="EEF4FB"/>
      </w:pPr>
      <w:r>
        <w:t>type:lexicon AND (subject:Hebrew OR title:Hebrew) ANDNOT title:glossary</w:t>
      </w:r>
    </w:p>
    <w:p>
      <w:pPr>
        <w:keepLines/>
      </w:pPr>
      <w:r>
        <w:t>Für hebräische Lexika; bei deutschsprachigen Titeln eventuell mit eigenem Tag ergänzen.</w:t>
      </w:r>
    </w:p>
    <w:p>
      <w:pPr>
        <w:pStyle w:val="Heading2"/>
        <w:keepNext/>
      </w:pPr>
      <w:r>
        <w:rPr>
          <w:b/>
        </w:rPr>
        <w:t>16. Grammatiken und Sprachreferenz</w:t>
      </w:r>
      <w:r>
        <w:rPr>
          <w:i/>
          <w:color w:val="9A5B00"/>
          <w:sz w:val="18"/>
        </w:rPr>
        <w:t xml:space="preserve">   [metadatenabhängig]</w:t>
      </w:r>
    </w:p>
    <w:p>
      <w:pPr>
        <w:pStyle w:val="CodeRule"/>
        <w:keepNext/>
        <w:shd w:fill="EEF4FB"/>
      </w:pPr>
      <w:r>
        <w:t>subject:(Grammar,Language,Reference) AND type:("Bible Notes",Grammar,Encyclopedia,Monograph)</w:t>
      </w:r>
    </w:p>
    <w:p>
      <w:pPr>
        <w:keepLines/>
      </w:pPr>
      <w:r>
        <w:t>Breite Sprachsammlung. Besonders bei deutschen Grammatiken lohnt die Kontrolle der Trefferliste.</w:t>
      </w:r>
    </w:p>
    <w:p>
      <w:pPr>
        <w:pStyle w:val="Heading1"/>
        <w:keepNext/>
      </w:pPr>
      <w:r>
        <w:t>C. Theologie und kirchliche Praxis</w:t>
      </w:r>
    </w:p>
    <w:p>
      <w:pPr>
        <w:pStyle w:val="Heading2"/>
        <w:keepNext/>
      </w:pPr>
      <w:r>
        <w:rPr>
          <w:b/>
        </w:rPr>
        <w:t>17. Systematische Theologie / Dogmatik</w:t>
      </w:r>
      <w:r>
        <w:rPr>
          <w:i/>
          <w:color w:val="9A5B00"/>
          <w:sz w:val="18"/>
        </w:rPr>
        <w:t xml:space="preserve">   [metadatenabhängig]</w:t>
      </w:r>
    </w:p>
    <w:p>
      <w:pPr>
        <w:pStyle w:val="CodeRule"/>
        <w:keepNext/>
        <w:shd w:fill="EEF4FB"/>
      </w:pPr>
      <w:r>
        <w:t>(title:"systematic theology" OR title:dogmatic OR (subject:theology AND subject:doctrinal)) AND type:monograph ANDNOT title:sermon</w:t>
      </w:r>
    </w:p>
    <w:p>
      <w:pPr>
        <w:keepLines/>
      </w:pPr>
      <w:r>
        <w:t>Klassische Ausgangsregel für systematisch-theologische Werke. Deutsche Dogmatiken gegebenenfalls mit mytag:Dogmatik ergänzen.</w:t>
      </w:r>
    </w:p>
    <w:p>
      <w:pPr>
        <w:pStyle w:val="Heading2"/>
        <w:keepNext/>
      </w:pPr>
      <w:r>
        <w:rPr>
          <w:b/>
        </w:rPr>
        <w:t>18. Biblische Theologie</w:t>
      </w:r>
      <w:r>
        <w:rPr>
          <w:i/>
          <w:color w:val="9A5B00"/>
          <w:sz w:val="18"/>
        </w:rPr>
        <w:t xml:space="preserve">   [metadatenabhängig]</w:t>
      </w:r>
    </w:p>
    <w:p>
      <w:pPr>
        <w:pStyle w:val="CodeRule"/>
        <w:keepNext/>
        <w:shd w:fill="EEF4FB"/>
      </w:pPr>
      <w:r>
        <w:t>(title:(Biblical,"Old Testament","New Testament") AND title:theology) OR subject:("Bible O.T.—Theology","Bible N.T.—Theology") OR mytag:Biblische-Theologie</w:t>
      </w:r>
    </w:p>
    <w:p>
      <w:pPr>
        <w:keepLines/>
      </w:pPr>
      <w:r>
        <w:t>Für Werke zur biblischen Theologie. Eigene Tags erhöhen die Zuverlässigkeit besonders bei deutschsprachigen Titeln.</w:t>
      </w:r>
    </w:p>
    <w:p>
      <w:pPr>
        <w:pStyle w:val="Heading2"/>
        <w:keepNext/>
      </w:pPr>
      <w:r>
        <w:rPr>
          <w:b/>
        </w:rPr>
        <w:t>19. Bekenntnisse und Katechismen</w:t>
      </w:r>
      <w:r>
        <w:rPr>
          <w:i/>
          <w:color w:val="9A5B00"/>
          <w:sz w:val="18"/>
        </w:rPr>
        <w:t xml:space="preserve">   [metadatenabhängig]</w:t>
      </w:r>
    </w:p>
    <w:p>
      <w:pPr>
        <w:pStyle w:val="CodeRule"/>
        <w:keepNext/>
        <w:shd w:fill="EEF4FB"/>
      </w:pPr>
      <w:r>
        <w:t>title:(creed,confession,Nicaea,catechism,Bekenntnis,Katechismus) OR subject:creed OR mytag:Bekenntnisse</w:t>
      </w:r>
    </w:p>
    <w:p>
      <w:pPr>
        <w:keepLines/>
      </w:pPr>
      <w:r>
        <w:t>Sammelt Bekenntnis- und Katechismustexte sowie einschlägige Werke.</w:t>
      </w:r>
    </w:p>
    <w:p>
      <w:pPr>
        <w:pStyle w:val="Heading2"/>
        <w:keepNext/>
      </w:pPr>
      <w:r>
        <w:rPr>
          <w:b/>
        </w:rPr>
        <w:t>20. Kirchenväter / Patristik</w:t>
      </w:r>
      <w:r>
        <w:rPr>
          <w:i/>
          <w:color w:val="9A5B00"/>
          <w:sz w:val="18"/>
        </w:rPr>
        <w:t xml:space="preserve">   [metadatenabhängig]</w:t>
      </w:r>
    </w:p>
    <w:p>
      <w:pPr>
        <w:pStyle w:val="CodeRule"/>
        <w:keepNext/>
        <w:shd w:fill="EEF4FB"/>
      </w:pPr>
      <w:r>
        <w:t>subject:(Fathers,"Early Church",Patristic) OR title:(Fathers,Patristic,Kirchenväter) OR mytag:Kirchenvaeter</w:t>
      </w:r>
    </w:p>
    <w:p>
      <w:pPr>
        <w:keepLines/>
      </w:pPr>
      <w:r>
        <w:t>Für patristische Quellen und Sekundärliteratur. Bei umfangreichen Patristik-Bibliotheken empfiehlt sich ein eigener Tag.</w:t>
      </w:r>
    </w:p>
    <w:p>
      <w:pPr>
        <w:pStyle w:val="Heading2"/>
        <w:keepNext/>
      </w:pPr>
      <w:r>
        <w:rPr>
          <w:b/>
        </w:rPr>
        <w:t>21. Reformation</w:t>
      </w:r>
      <w:r>
        <w:rPr>
          <w:i/>
          <w:color w:val="9A5B00"/>
          <w:sz w:val="18"/>
        </w:rPr>
        <w:t xml:space="preserve">   [metadatenabhängig]</w:t>
      </w:r>
    </w:p>
    <w:p>
      <w:pPr>
        <w:pStyle w:val="CodeRule"/>
        <w:keepNext/>
        <w:shd w:fill="EEF4FB"/>
      </w:pPr>
      <w:r>
        <w:t>subject:(Reformation,Luther,Melanchthon) OR title:(Reformation,Luther,Melanchthon) OR mytag:Reformation</w:t>
      </w:r>
    </w:p>
    <w:p>
      <w:pPr>
        <w:keepLines/>
      </w:pPr>
      <w:r>
        <w:t>Sammelt Literatur zur Reformation und zu wichtigen Reformatoren.</w:t>
      </w:r>
    </w:p>
    <w:p>
      <w:pPr>
        <w:pStyle w:val="Heading2"/>
        <w:keepNext/>
      </w:pPr>
      <w:r>
        <w:rPr>
          <w:b/>
        </w:rPr>
        <w:t>22. Seelsorge und Pastoralpsychologie</w:t>
      </w:r>
      <w:r>
        <w:rPr>
          <w:i/>
          <w:color w:val="9A5B00"/>
          <w:sz w:val="18"/>
        </w:rPr>
        <w:t xml:space="preserve">   [metadatenabhängig]</w:t>
      </w:r>
    </w:p>
    <w:p>
      <w:pPr>
        <w:pStyle w:val="CodeRule"/>
        <w:keepNext/>
        <w:shd w:fill="EEF4FB"/>
      </w:pPr>
      <w:r>
        <w:t>mytag:Seelsorge OR subject:(Counsel,"Pastoral Care",Psychology) OR title:(Counsel,"Pastoral Care",Seelsorge)</w:t>
      </w:r>
    </w:p>
    <w:p>
      <w:pPr>
        <w:keepLines/>
      </w:pPr>
      <w:r>
        <w:t>Breite Sammlung für Seelsorge, Beratung und pastoralpsychologische Literatur.</w:t>
      </w:r>
    </w:p>
    <w:p>
      <w:pPr>
        <w:pStyle w:val="Heading2"/>
        <w:keepNext/>
      </w:pPr>
      <w:r>
        <w:rPr>
          <w:b/>
        </w:rPr>
        <w:t>23. Liturgie und Gottesdienst</w:t>
      </w:r>
      <w:r>
        <w:rPr>
          <w:i/>
          <w:color w:val="9A5B00"/>
          <w:sz w:val="18"/>
        </w:rPr>
        <w:t xml:space="preserve">   [metadatenabhängig]</w:t>
      </w:r>
    </w:p>
    <w:p>
      <w:pPr>
        <w:pStyle w:val="CodeRule"/>
        <w:keepNext/>
        <w:shd w:fill="EEF4FB"/>
      </w:pPr>
      <w:r>
        <w:t>subject:(Worship,Liturg) OR title:(Worship,Liturg,Gottesdienst) OR mytag:Liturgie</w:t>
      </w:r>
    </w:p>
    <w:p>
      <w:pPr>
        <w:keepLines/>
      </w:pPr>
      <w:r>
        <w:t>Für Gottesdienstgestaltung, Liturgik und Worship-Literatur.</w:t>
      </w:r>
    </w:p>
    <w:p>
      <w:pPr>
        <w:pStyle w:val="Heading2"/>
        <w:keepNext/>
      </w:pPr>
      <w:r>
        <w:rPr>
          <w:b/>
        </w:rPr>
        <w:t>24. Apologetik</w:t>
      </w:r>
      <w:r>
        <w:rPr>
          <w:i/>
          <w:color w:val="9A5B00"/>
          <w:sz w:val="18"/>
        </w:rPr>
        <w:t xml:space="preserve">   [metadatenabhängig]</w:t>
      </w:r>
    </w:p>
    <w:p>
      <w:pPr>
        <w:pStyle w:val="CodeRule"/>
        <w:keepNext/>
        <w:shd w:fill="EEF4FB"/>
      </w:pPr>
      <w:r>
        <w:t>subject:(Apologeti,"Christianity—Philosophy",Evidence,Miracle,Truth,Witness) OR title:Apologeti OR mytag:Apologetik</w:t>
      </w:r>
    </w:p>
    <w:p>
      <w:pPr>
        <w:keepLines/>
      </w:pPr>
      <w:r>
        <w:t>Breite apologetische Sammlung. Wegen der Themenvielfalt unbedingt Ergebnisliste prüfen.</w:t>
      </w:r>
    </w:p>
    <w:p>
      <w:pPr>
        <w:pStyle w:val="Heading2"/>
        <w:keepNext/>
      </w:pPr>
      <w:r>
        <w:rPr>
          <w:b/>
        </w:rPr>
        <w:t>25. Biblischer Hintergrund / Umwelt</w:t>
      </w:r>
      <w:r>
        <w:rPr>
          <w:i/>
          <w:color w:val="9A5B00"/>
          <w:sz w:val="18"/>
        </w:rPr>
        <w:t xml:space="preserve">   [metadatenabhängig]</w:t>
      </w:r>
    </w:p>
    <w:p>
      <w:pPr>
        <w:pStyle w:val="CodeRule"/>
        <w:keepNext/>
        <w:shd w:fill="EEF4FB"/>
      </w:pPr>
      <w:r>
        <w:t>title:(Background,Context,Jewish,Judaism,Manners,Map) OR subject:(Background,Jews,Judaism) OR mytag:Bibelhintergrund</w:t>
      </w:r>
    </w:p>
    <w:p>
      <w:pPr>
        <w:keepLines/>
      </w:pPr>
      <w:r>
        <w:t>Für historische, jüdische und kulturelle Hintergrundliteratur zur Bibel.</w:t>
      </w:r>
    </w:p>
    <w:p>
      <w:pPr>
        <w:pStyle w:val="Heading2"/>
        <w:keepNext/>
      </w:pPr>
      <w:r>
        <w:rPr>
          <w:b/>
        </w:rPr>
        <w:t>26. Predigtillustrationen und Zitate</w:t>
      </w:r>
      <w:r>
        <w:rPr>
          <w:i/>
          <w:color w:val="9A5B00"/>
          <w:sz w:val="18"/>
        </w:rPr>
        <w:t xml:space="preserve">   [metadatenabhängig]</w:t>
      </w:r>
    </w:p>
    <w:p>
      <w:pPr>
        <w:pStyle w:val="CodeRule"/>
        <w:keepNext/>
        <w:shd w:fill="EEF4FB"/>
      </w:pPr>
      <w:r>
        <w:t>subject:(illustrat,quot,stor) OR title:(illustrat,quot,stor) OR mytag:Illustrationen</w:t>
      </w:r>
    </w:p>
    <w:p>
      <w:pPr>
        <w:keepLines/>
      </w:pPr>
      <w:r>
        <w:t>Sammelt Illustrations-, Zitat- und Geschichtensammlungen. Eigene Tags sind hier besonders hilfreich.</w:t>
      </w:r>
    </w:p>
    <w:p>
      <w:pPr>
        <w:pStyle w:val="Heading2"/>
        <w:keepNext/>
      </w:pPr>
      <w:r>
        <w:rPr>
          <w:b/>
        </w:rPr>
        <w:t>27. Biographien</w:t>
      </w:r>
      <w:r>
        <w:rPr>
          <w:i/>
          <w:color w:val="9A5B00"/>
          <w:sz w:val="18"/>
        </w:rPr>
        <w:t xml:space="preserve">   [metadatenabhängig]</w:t>
      </w:r>
    </w:p>
    <w:p>
      <w:pPr>
        <w:pStyle w:val="CodeRule"/>
        <w:keepNext/>
        <w:shd w:fill="EEF4FB"/>
      </w:pPr>
      <w:r>
        <w:t>type:(monograph,dictionary) AND subject:biography ANDNOT subject:("Jesus Christ",Bible,Apostles)</w:t>
      </w:r>
    </w:p>
    <w:p>
      <w:pPr>
        <w:keepLines/>
      </w:pPr>
      <w:r>
        <w:t>Biographische Literatur über Personen außerhalb der biblischen Hauptfiguren; je nach Katalogisierung variieren die Treffer.</w:t>
      </w:r>
    </w:p>
    <w:p>
      <w:pPr>
        <w:pStyle w:val="Heading1"/>
        <w:keepNext/>
      </w:pPr>
      <w:r>
        <w:t>D. Bibliothek pflegen und verwalten</w:t>
      </w:r>
    </w:p>
    <w:p>
      <w:pPr>
        <w:pStyle w:val="Heading2"/>
        <w:keepNext/>
      </w:pPr>
      <w:r>
        <w:rPr>
          <w:b/>
        </w:rPr>
        <w:t>28. Noch nicht mit eigenen Tags versehene Bücher</w:t>
      </w:r>
      <w:r>
        <w:rPr>
          <w:i/>
          <w:color w:val="187235"/>
          <w:sz w:val="18"/>
        </w:rPr>
        <w:t xml:space="preserve">   [robust]</w:t>
      </w:r>
    </w:p>
    <w:p>
      <w:pPr>
        <w:pStyle w:val="CodeRule"/>
        <w:keepNext/>
        <w:shd w:fill="EEF4FB"/>
      </w:pPr>
      <w:r>
        <w:t>rating:&gt;=0 ANDNOT mytag:*</w:t>
      </w:r>
    </w:p>
    <w:p>
      <w:pPr>
        <w:keepLines/>
      </w:pPr>
      <w:r>
        <w:t>Sehr praktisch beim schrittweisen Aufräumen einer großen Bibliothek: zeigt Bücher ohne eigene Tags.</w:t>
      </w:r>
    </w:p>
    <w:p>
      <w:pPr>
        <w:pStyle w:val="Heading2"/>
        <w:keepNext/>
      </w:pPr>
      <w:r>
        <w:rPr>
          <w:b/>
        </w:rPr>
        <w:t>29. In den letzten 30 Tagen hinzugefügt</w:t>
      </w:r>
      <w:r>
        <w:rPr>
          <w:i/>
          <w:color w:val="187235"/>
          <w:sz w:val="18"/>
        </w:rPr>
        <w:t xml:space="preserve">   [robust]</w:t>
      </w:r>
    </w:p>
    <w:p>
      <w:pPr>
        <w:pStyle w:val="CodeRule"/>
        <w:keepNext/>
        <w:shd w:fill="EEF4FB"/>
      </w:pPr>
      <w:r>
        <w:t>{AddedDate 30d}</w:t>
      </w:r>
    </w:p>
    <w:p>
      <w:pPr>
        <w:keepLines/>
      </w:pPr>
      <w:r>
        <w:t>Exakte Erweiterungssyntax: Bücher, die innerhalb der letzten 30 Tage zur Bibliothek hinzugefügt wurden.</w:t>
      </w:r>
    </w:p>
    <w:p>
      <w:pPr>
        <w:pStyle w:val="Heading2"/>
        <w:keepNext/>
      </w:pPr>
      <w:r>
        <w:rPr>
          <w:b/>
        </w:rPr>
        <w:t>30. Aktuell in Lektüre</w:t>
      </w:r>
      <w:r>
        <w:rPr>
          <w:i/>
          <w:color w:val="187235"/>
          <w:sz w:val="18"/>
        </w:rPr>
        <w:t xml:space="preserve">   [robust]</w:t>
      </w:r>
    </w:p>
    <w:p>
      <w:pPr>
        <w:pStyle w:val="CodeRule"/>
        <w:keepNext/>
        <w:shd w:fill="EEF4FB"/>
      </w:pPr>
      <w:r>
        <w:t>{ReadingStatus "Reading"}</w:t>
      </w:r>
    </w:p>
    <w:p>
      <w:pPr>
        <w:keepLines/>
      </w:pPr>
      <w:r>
        <w:t>Zeigt Bücher mit Lesestatus „Reading“. Für eine persönliche Lese-Sammlung sehr praktisch.</w:t>
      </w:r>
    </w:p>
    <w:p>
      <w:pPr>
        <w:pStyle w:val="Heading1"/>
        <w:keepNext/>
      </w:pPr>
      <w:r>
        <w:t>Bonus: vier nützliche Vorlagen zum Anpassen</w:t>
      </w:r>
    </w:p>
    <w:p>
      <w:pPr>
        <w:pStyle w:val="Heading2"/>
        <w:keepNext/>
      </w:pPr>
      <w:r>
        <w:rPr>
          <w:b/>
        </w:rPr>
        <w:t>Abgeschlossene Bücher</w:t>
      </w:r>
    </w:p>
    <w:p>
      <w:pPr>
        <w:pStyle w:val="CodeRule"/>
        <w:keepNext/>
        <w:shd w:fill="F3F3F3"/>
      </w:pPr>
      <w:r>
        <w:t>{ReadingStatus "Finished"}</w:t>
      </w:r>
    </w:p>
    <w:p>
      <w:r>
        <w:t>Alle Bücher mit Lesestatus „Finished“.</w:t>
      </w:r>
    </w:p>
    <w:p>
      <w:pPr>
        <w:pStyle w:val="Heading2"/>
        <w:keepNext/>
      </w:pPr>
      <w:r>
        <w:rPr>
          <w:b/>
        </w:rPr>
        <w:t>Gut bewertete Bücher</w:t>
      </w:r>
    </w:p>
    <w:p>
      <w:pPr>
        <w:pStyle w:val="CodeRule"/>
        <w:keepNext/>
        <w:shd w:fill="F3F3F3"/>
      </w:pPr>
      <w:r>
        <w:t>myrating:&gt;3</w:t>
      </w:r>
    </w:p>
    <w:p>
      <w:r>
        <w:t>Eigene 4- und 5-Sterne-Bewertungen als Qualitätsauswahl.</w:t>
      </w:r>
    </w:p>
    <w:p>
      <w:pPr>
        <w:pStyle w:val="Heading2"/>
        <w:keepNext/>
      </w:pPr>
      <w:r>
        <w:rPr>
          <w:b/>
        </w:rPr>
        <w:t>Ein bestimmter Verlag</w:t>
      </w:r>
    </w:p>
    <w:p>
      <w:pPr>
        <w:pStyle w:val="CodeRule"/>
        <w:keepNext/>
        <w:shd w:fill="F3F3F3"/>
      </w:pPr>
      <w:r>
        <w:t>{Publisher "VERLAGSNAME"}</w:t>
      </w:r>
    </w:p>
    <w:p>
      <w:r>
        <w:t>VERLAGSNAME durch den exakten Wert aus der Publisher-Spalte ersetzen.</w:t>
      </w:r>
    </w:p>
    <w:p>
      <w:pPr>
        <w:pStyle w:val="Heading2"/>
        <w:keepNext/>
      </w:pPr>
      <w:r>
        <w:rPr>
          <w:b/>
        </w:rPr>
        <w:t>Eine bestimmte Reihe</w:t>
      </w:r>
    </w:p>
    <w:p>
      <w:pPr>
        <w:pStyle w:val="CodeRule"/>
        <w:keepNext/>
        <w:shd w:fill="F3F3F3"/>
      </w:pPr>
      <w:r>
        <w:t>{Series "REIHENNAME"}</w:t>
      </w:r>
    </w:p>
    <w:p>
      <w:r>
        <w:t>REIHENNAME exakt aus der Reihen-Spalte der Bibliothek übernehmen.</w:t>
      </w:r>
    </w:p>
    <w:p>
      <w:pPr>
        <w:pStyle w:val="Heading1"/>
        <w:keepNext/>
      </w:pPr>
      <w:r>
        <w:t>Fünf Regeln für zuverlässige Sammlungen</w:t>
      </w:r>
    </w:p>
    <w:p>
      <w:pPr>
        <w:pStyle w:val="ListBullet"/>
      </w:pPr>
      <w:r>
        <w:t>Nach jeder neuen Regel die Ergebnisliste kontrollieren. Besonders subject: und title: hängen von den Metadaten der einzelnen Werke ab.</w:t>
      </w:r>
    </w:p>
    <w:p>
      <w:pPr>
        <w:pStyle w:val="ListBullet"/>
      </w:pPr>
      <w:r>
        <w:t>Eigene Tags gezielt ergänzen. Eine bewährte Form ist: automatische Regel OR mytag:MeinTag.</w:t>
      </w:r>
    </w:p>
    <w:p>
      <w:pPr>
        <w:pStyle w:val="ListBullet"/>
      </w:pPr>
      <w:r>
        <w:t>Bei Wortgruppen gerade Anführungszeichen verwenden, z. B. title:"systematic theology".</w:t>
      </w:r>
    </w:p>
    <w:p>
      <w:pPr>
        <w:pStyle w:val="ListBullet"/>
      </w:pPr>
      <w:r>
        <w:t>Für Verlag, Reihe, Lesestatus, hinzugefügte Daten oder bestehende Sammlungen eignet sich die exakte Erweiterungssyntax in geschweiften Klammern.</w:t>
      </w:r>
    </w:p>
    <w:p>
      <w:pPr>
        <w:pStyle w:val="ListBullet"/>
      </w:pPr>
      <w:r>
        <w:t>Nicht für jede Kleinigkeit eine Sammlung anlegen: Ein einfacher Bibliotheksfilter oder ein eigener Tag kann manchmal die übersichtlichere Lösung sein.</w:t>
      </w:r>
    </w:p>
    <w:p>
      <w:pPr>
        <w:pStyle w:val="Heading1"/>
        <w:keepNext/>
      </w:pPr>
      <w:r>
        <w:t>Hinweis zu Sammlungen und parallelen Ressourcen</w:t>
      </w:r>
    </w:p>
    <w:p>
      <w:r>
        <w:t>Sammlungen sind nicht nur Suchfilter. Geeignete Sammlungen können auch als benutzerdefinierte Listen paralleler Bücher verwendet werden. Das ist zum Beispiel für bevorzugte Bibeln, Lexika oder Kommentargruppen interessant. Für solche Listen sollte die Sammlung möglichst homogen sein.</w:t>
      </w:r>
    </w:p>
    <w:p>
      <w:pPr>
        <w:pStyle w:val="Heading1"/>
        <w:keepNext/>
      </w:pPr>
      <w:r>
        <w:t>Quellen zur Syntax</w:t>
      </w:r>
    </w:p>
    <w:p>
      <w:pPr>
        <w:pStyle w:val="ListBullet"/>
      </w:pPr>
      <w:r>
        <w:t>Logos Help Center: Create and Use Book Collections – https://support.logos.com/hc/en-us/articles/360016299092-Create-and-Use-Book-Collections</w:t>
      </w:r>
    </w:p>
    <w:p>
      <w:pPr>
        <w:pStyle w:val="ListBullet"/>
      </w:pPr>
      <w:r>
        <w:t>Logos Hilfe: Verwendung der Bibliothek – https://support.logos.com/hc/de/articles/360016752591-Verwendung-der-Bibliothek</w:t>
      </w:r>
    </w:p>
    <w:p>
      <w:pPr>
        <w:pStyle w:val="ListBullet"/>
      </w:pPr>
      <w:r>
        <w:t>Logos Community Knowledge Base: Collections – https://community.logos.com/kb/articles/859-collections</w:t>
      </w:r>
    </w:p>
    <w:p>
      <w:pPr>
        <w:pStyle w:val="ListBullet"/>
      </w:pPr>
      <w:r>
        <w:t>Logos Community Knowledge Base: Library – https://community.logos.com/kb/articles/1032-library</w:t>
      </w:r>
    </w:p>
    <w:p>
      <w:pPr>
        <w:pStyle w:val="ListBullet"/>
      </w:pPr>
      <w:r>
        <w:t>Logos Community Knowledge Base: Example Collections – https://community.logos.com/kb/articles/896-example-collections</w:t>
      </w:r>
    </w:p>
    <w:sectPr w:rsidR="00FC693F" w:rsidRPr="0006063C" w:rsidSect="00034616">
      <w:footerReference w:type="default" r:id="rId9"/>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Logos – allgemeine Sammlungsregeln | Stand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Rule">
    <w:name w:val="CodeRule"/>
    <w:pPr>
      <w:spacing w:before="60" w:after="140"/>
      <w:ind w:left="255" w:right="142"/>
    </w:pPr>
    <w:rPr>
      <w:rFonts w:ascii="Consolas" w:hAnsi="Consolas"/>
      <w:sz w:val="18"/>
    </w:rPr>
  </w:style>
  <w:style w:type="paragraph" w:customStyle="1" w:styleId="SmallNote">
    <w:name w:val="SmallNote"/>
    <w:pPr>
      <w:spacing w:after="100"/>
    </w:pPr>
    <w:rPr>
      <w:rFonts w:ascii="Aptos" w:hAnsi="Aptos"/>
      <w:i/>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